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93" w:rsidRDefault="00264893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4AC084B" wp14:editId="76C6F258">
            <wp:simplePos x="0" y="0"/>
            <wp:positionH relativeFrom="column">
              <wp:posOffset>4565650</wp:posOffset>
            </wp:positionH>
            <wp:positionV relativeFrom="paragraph">
              <wp:posOffset>-232410</wp:posOffset>
            </wp:positionV>
            <wp:extent cx="1205865" cy="737870"/>
            <wp:effectExtent l="0" t="0" r="0" b="5080"/>
            <wp:wrapNone/>
            <wp:docPr id="1" name="Bildobjekt 1" descr="_s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sv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893" w:rsidRDefault="00264893"/>
    <w:p w:rsidR="00264893" w:rsidRPr="002A7875" w:rsidRDefault="00264893" w:rsidP="00264893">
      <w:pPr>
        <w:rPr>
          <w:rFonts w:ascii="Arial" w:hAnsi="Arial"/>
          <w:b/>
          <w:sz w:val="28"/>
          <w:szCs w:val="28"/>
        </w:rPr>
      </w:pPr>
      <w:r w:rsidRPr="002A7875">
        <w:rPr>
          <w:rFonts w:ascii="Arial" w:hAnsi="Arial"/>
          <w:b/>
          <w:sz w:val="28"/>
          <w:szCs w:val="28"/>
        </w:rPr>
        <w:t xml:space="preserve">Bedömning inför förskrivning av höftskyddsbyxor </w:t>
      </w:r>
    </w:p>
    <w:p w:rsidR="00264893" w:rsidRPr="00473E87" w:rsidRDefault="00264893" w:rsidP="00264893">
      <w:r w:rsidRPr="00473E87">
        <w:t xml:space="preserve">Förskrivningen görs av arbetsterapeut eller sjukgymnast och hanteras som andra hjälpmedel. </w:t>
      </w:r>
      <w:r w:rsidR="003E0264">
        <w:t xml:space="preserve">      </w:t>
      </w:r>
      <w:r w:rsidRPr="00473E87">
        <w:rPr>
          <w:b/>
        </w:rPr>
        <w:t>Minst tre av sex kriterier ska vara uppfyllda</w:t>
      </w:r>
      <w:r w:rsidR="003E0264">
        <w:t>:</w:t>
      </w:r>
    </w:p>
    <w:p w:rsidR="00D3508F" w:rsidRDefault="00264893" w:rsidP="00264893">
      <w:pPr>
        <w:pStyle w:val="Liststycke"/>
        <w:numPr>
          <w:ilvl w:val="0"/>
          <w:numId w:val="1"/>
        </w:numPr>
      </w:pPr>
      <w:r>
        <w:t>Personen är 80 år eller äldre</w:t>
      </w:r>
    </w:p>
    <w:p w:rsidR="00264893" w:rsidRDefault="00264893" w:rsidP="00264893">
      <w:pPr>
        <w:pStyle w:val="Liststycke"/>
        <w:numPr>
          <w:ilvl w:val="0"/>
          <w:numId w:val="1"/>
        </w:numPr>
      </w:pPr>
      <w:r w:rsidRPr="003F4182">
        <w:t>Fall det senaste året</w:t>
      </w:r>
    </w:p>
    <w:p w:rsidR="00264893" w:rsidRDefault="003E0264" w:rsidP="00264893">
      <w:pPr>
        <w:pStyle w:val="Liststycke"/>
        <w:numPr>
          <w:ilvl w:val="0"/>
          <w:numId w:val="1"/>
        </w:numPr>
      </w:pPr>
      <w:r>
        <w:t>Tidigare frakturer</w:t>
      </w:r>
      <w:r w:rsidR="00264893" w:rsidRPr="003F4182">
        <w:t xml:space="preserve"> (efter 40 års ålder)</w:t>
      </w:r>
    </w:p>
    <w:p w:rsidR="00264893" w:rsidRPr="003F4182" w:rsidRDefault="00264893" w:rsidP="00264893">
      <w:pPr>
        <w:pStyle w:val="Liststycke"/>
        <w:numPr>
          <w:ilvl w:val="0"/>
          <w:numId w:val="1"/>
        </w:numPr>
      </w:pPr>
      <w:r w:rsidRPr="003F4182">
        <w:t>Vikt under 60 kg</w:t>
      </w:r>
    </w:p>
    <w:p w:rsidR="00264893" w:rsidRDefault="00264893" w:rsidP="00264893">
      <w:pPr>
        <w:pStyle w:val="Liststycke"/>
        <w:numPr>
          <w:ilvl w:val="0"/>
          <w:numId w:val="1"/>
        </w:numPr>
      </w:pPr>
      <w:r w:rsidRPr="003F4182">
        <w:t>Ostadig gång eller riskbeteende vid gång/förflyttning</w:t>
      </w:r>
    </w:p>
    <w:p w:rsidR="00264893" w:rsidRDefault="00264893" w:rsidP="00264893">
      <w:pPr>
        <w:pStyle w:val="Liststycke"/>
        <w:numPr>
          <w:ilvl w:val="0"/>
          <w:numId w:val="1"/>
        </w:numPr>
      </w:pPr>
      <w:r w:rsidRPr="003F4182">
        <w:t>Person med bensvaghet, svårighet att resa sig själv från stol utan att ta hjälp av armarna</w:t>
      </w:r>
    </w:p>
    <w:p w:rsidR="00264893" w:rsidRDefault="00264893" w:rsidP="00264893"/>
    <w:p w:rsidR="00264893" w:rsidRPr="00F40E5A" w:rsidRDefault="00264893" w:rsidP="00264893">
      <w:pPr>
        <w:rPr>
          <w:rFonts w:ascii="Arial" w:hAnsi="Arial"/>
          <w:b/>
        </w:rPr>
      </w:pPr>
      <w:r w:rsidRPr="00F40E5A">
        <w:rPr>
          <w:rFonts w:ascii="Arial" w:hAnsi="Arial"/>
          <w:b/>
        </w:rPr>
        <w:t>Samråd/diskussion i teamet inför förskrivning</w:t>
      </w:r>
    </w:p>
    <w:p w:rsidR="00264893" w:rsidRPr="00473E87" w:rsidRDefault="00264893" w:rsidP="00264893">
      <w:r w:rsidRPr="00473E87">
        <w:t xml:space="preserve">Viktigt att först vidta andra åtgärder för att undvika fall och höftfraktur. Höftskyddsbyxan får inte användas som enda åtgärd. </w:t>
      </w:r>
    </w:p>
    <w:p w:rsidR="00264893" w:rsidRPr="00473E87" w:rsidRDefault="00264893" w:rsidP="00264893">
      <w:r w:rsidRPr="00473E87">
        <w:t xml:space="preserve">Den som alltid har sällskap vid gång/förflyttning och som alltid larmar vid behov är </w:t>
      </w:r>
      <w:r w:rsidRPr="00473E87">
        <w:rPr>
          <w:u w:val="single"/>
        </w:rPr>
        <w:t>inte</w:t>
      </w:r>
      <w:r w:rsidRPr="00473E87">
        <w:t xml:space="preserve"> aktuell för höftskyddsbyxor. Viktigt också att i teamet komma fram till om det är lämpligt med höftskyddsbyxor. Ibland kan höftskyddsbyxan skapa nya fallrisker om personen har svårt att hantera den. En noggrann diskussion/analys krävs alltså för att bedöma </w:t>
      </w:r>
    </w:p>
    <w:p w:rsidR="00264893" w:rsidRPr="00473E87" w:rsidRDefault="00264893" w:rsidP="00264893">
      <w:pPr>
        <w:numPr>
          <w:ilvl w:val="0"/>
          <w:numId w:val="3"/>
        </w:numPr>
        <w:tabs>
          <w:tab w:val="clear" w:pos="3600"/>
        </w:tabs>
        <w:spacing w:after="0" w:line="240" w:lineRule="auto"/>
        <w:ind w:left="720"/>
      </w:pPr>
      <w:proofErr w:type="gramStart"/>
      <w:r w:rsidRPr="00473E87">
        <w:rPr>
          <w:u w:val="single"/>
        </w:rPr>
        <w:t>om</w:t>
      </w:r>
      <w:r w:rsidRPr="00473E87">
        <w:t xml:space="preserve"> höftskyddsbyxor är en bra åtgärd.</w:t>
      </w:r>
      <w:proofErr w:type="gramEnd"/>
    </w:p>
    <w:p w:rsidR="00264893" w:rsidRPr="00473E87" w:rsidRDefault="00264893" w:rsidP="00264893">
      <w:pPr>
        <w:numPr>
          <w:ilvl w:val="0"/>
          <w:numId w:val="3"/>
        </w:numPr>
        <w:tabs>
          <w:tab w:val="clear" w:pos="3600"/>
        </w:tabs>
        <w:spacing w:after="0" w:line="240" w:lineRule="auto"/>
        <w:ind w:left="720"/>
      </w:pPr>
      <w:proofErr w:type="gramStart"/>
      <w:r w:rsidRPr="00473E87">
        <w:rPr>
          <w:u w:val="single"/>
        </w:rPr>
        <w:t>vilken typ</w:t>
      </w:r>
      <w:r w:rsidRPr="00473E87">
        <w:t xml:space="preserve"> av byxa som ska väljas.</w:t>
      </w:r>
      <w:proofErr w:type="gramEnd"/>
    </w:p>
    <w:p w:rsidR="00264893" w:rsidRPr="00473E87" w:rsidRDefault="00264893" w:rsidP="00264893">
      <w:pPr>
        <w:numPr>
          <w:ilvl w:val="0"/>
          <w:numId w:val="3"/>
        </w:numPr>
        <w:tabs>
          <w:tab w:val="clear" w:pos="3600"/>
        </w:tabs>
        <w:spacing w:after="0" w:line="240" w:lineRule="auto"/>
        <w:ind w:left="720"/>
      </w:pPr>
      <w:proofErr w:type="gramStart"/>
      <w:r w:rsidRPr="00473E87">
        <w:rPr>
          <w:u w:val="single"/>
        </w:rPr>
        <w:t>när</w:t>
      </w:r>
      <w:r w:rsidRPr="00473E87">
        <w:t xml:space="preserve"> byxan ska användas.</w:t>
      </w:r>
      <w:proofErr w:type="gramEnd"/>
      <w:r w:rsidRPr="00473E87">
        <w:t xml:space="preserve"> Dygnet runt eller bara dagtid? </w:t>
      </w:r>
    </w:p>
    <w:p w:rsidR="00264893" w:rsidRPr="00473E87" w:rsidRDefault="00264893" w:rsidP="00264893">
      <w:pPr>
        <w:ind w:left="720"/>
      </w:pPr>
      <w:r w:rsidRPr="00473E87">
        <w:t>(Tänk på risken för trycksår när en patient med nedsatt cirkulation ligger mycket)</w:t>
      </w:r>
    </w:p>
    <w:p w:rsidR="00264893" w:rsidRPr="00473E87" w:rsidRDefault="00264893" w:rsidP="00264893">
      <w:pPr>
        <w:rPr>
          <w:rFonts w:ascii="Arial" w:hAnsi="Arial" w:cs="Arial"/>
          <w:b/>
        </w:rPr>
      </w:pPr>
      <w:r w:rsidRPr="00473E87">
        <w:rPr>
          <w:rFonts w:ascii="Arial" w:hAnsi="Arial" w:cs="Arial"/>
          <w:b/>
        </w:rPr>
        <w:t>Vilken typ av byxa?</w:t>
      </w:r>
    </w:p>
    <w:p w:rsidR="00264893" w:rsidRPr="00473E87" w:rsidRDefault="00264893" w:rsidP="00264893">
      <w:r w:rsidRPr="00473E87">
        <w:t>Höftskyddsbyxorna finns i t</w:t>
      </w:r>
      <w:r>
        <w:t xml:space="preserve">vå modeller med fastsydda skal, hel byxa eller byxa med öppen gren. </w:t>
      </w:r>
    </w:p>
    <w:p w:rsidR="00264893" w:rsidRPr="00473E87" w:rsidRDefault="00264893" w:rsidP="00264893">
      <w:pPr>
        <w:rPr>
          <w:rFonts w:ascii="Arial" w:hAnsi="Arial" w:cs="Arial"/>
          <w:b/>
        </w:rPr>
      </w:pPr>
      <w:r w:rsidRPr="00473E87">
        <w:rPr>
          <w:rFonts w:ascii="Arial" w:hAnsi="Arial" w:cs="Arial"/>
          <w:b/>
        </w:rPr>
        <w:t xml:space="preserve">Vilken modell? </w:t>
      </w:r>
    </w:p>
    <w:p w:rsidR="00264893" w:rsidRPr="00473E87" w:rsidRDefault="003E0264" w:rsidP="00264893">
      <w:pPr>
        <w:numPr>
          <w:ilvl w:val="0"/>
          <w:numId w:val="4"/>
        </w:numPr>
        <w:spacing w:after="0" w:line="240" w:lineRule="auto"/>
      </w:pPr>
      <w:r>
        <w:rPr>
          <w:u w:val="single"/>
        </w:rPr>
        <w:t>Hel byxa</w:t>
      </w:r>
      <w:r w:rsidR="00264893" w:rsidRPr="00473E87">
        <w:rPr>
          <w:u w:val="single"/>
        </w:rPr>
        <w:t xml:space="preserve"> är basmodellen</w:t>
      </w:r>
      <w:r w:rsidR="00264893" w:rsidRPr="00473E87">
        <w:rPr>
          <w:b/>
        </w:rPr>
        <w:t>.</w:t>
      </w:r>
      <w:r w:rsidR="00264893" w:rsidRPr="00473E87">
        <w:t xml:space="preserve"> Den har bättre passform men kräver en viss handfunktion om patienten själv ska kunna hantera den. </w:t>
      </w:r>
    </w:p>
    <w:p w:rsidR="00264893" w:rsidRPr="00473E87" w:rsidRDefault="003E0264" w:rsidP="00264893">
      <w:pPr>
        <w:numPr>
          <w:ilvl w:val="0"/>
          <w:numId w:val="4"/>
        </w:numPr>
        <w:spacing w:after="0" w:line="240" w:lineRule="auto"/>
      </w:pPr>
      <w:r>
        <w:t>Byxa med öppen gren</w:t>
      </w:r>
      <w:r w:rsidR="00264893" w:rsidRPr="00473E87">
        <w:t xml:space="preserve"> kan bäras direkt mot kroppen med underbyxorna utanpå och behöver då inte dras ner vid toalettbesök. Dock krävs det att patienten förstår detta om hon ska hantera dem själv.</w:t>
      </w:r>
    </w:p>
    <w:p w:rsidR="00264893" w:rsidRPr="00473E87" w:rsidRDefault="00264893" w:rsidP="00264893">
      <w:pPr>
        <w:numPr>
          <w:ilvl w:val="0"/>
          <w:numId w:val="4"/>
        </w:numPr>
        <w:spacing w:after="0" w:line="240" w:lineRule="auto"/>
      </w:pPr>
      <w:r w:rsidRPr="00473E87">
        <w:t xml:space="preserve">Om patienten är mycket inkontinent och </w:t>
      </w:r>
      <w:r w:rsidR="003E0264">
        <w:t>ofta läcker trots blöja kan byxa med öppen gren</w:t>
      </w:r>
      <w:r w:rsidRPr="00473E87">
        <w:t xml:space="preserve"> vara bra. </w:t>
      </w:r>
    </w:p>
    <w:p w:rsidR="00264893" w:rsidRDefault="00264893" w:rsidP="00264893">
      <w:pPr>
        <w:numPr>
          <w:ilvl w:val="0"/>
          <w:numId w:val="4"/>
        </w:numPr>
        <w:spacing w:after="0" w:line="240" w:lineRule="auto"/>
      </w:pPr>
      <w:r w:rsidRPr="00473E87">
        <w:t xml:space="preserve">Eftersom storlekarna överlappar varandra kan två storlekar passa. </w:t>
      </w:r>
      <w:r w:rsidR="003E0264">
        <w:t xml:space="preserve">Om patienten är mitt emellan två storlekar kan man prova den större modellen eftersom chansen då är större att patienten accepterar byxorna. </w:t>
      </w:r>
    </w:p>
    <w:p w:rsidR="00462E0D" w:rsidRDefault="00462E0D" w:rsidP="00462E0D">
      <w:pPr>
        <w:spacing w:after="0" w:line="240" w:lineRule="auto"/>
        <w:ind w:left="6520"/>
        <w:rPr>
          <w:sz w:val="16"/>
          <w:szCs w:val="16"/>
        </w:rPr>
      </w:pPr>
    </w:p>
    <w:p w:rsidR="00462E0D" w:rsidRDefault="00462E0D" w:rsidP="00462E0D">
      <w:pPr>
        <w:spacing w:after="0" w:line="240" w:lineRule="auto"/>
        <w:ind w:left="6520"/>
        <w:rPr>
          <w:sz w:val="16"/>
          <w:szCs w:val="16"/>
        </w:rPr>
      </w:pPr>
    </w:p>
    <w:p w:rsidR="00462E0D" w:rsidRDefault="00462E0D" w:rsidP="00462E0D">
      <w:pPr>
        <w:spacing w:after="0" w:line="240" w:lineRule="auto"/>
        <w:ind w:left="6520"/>
        <w:rPr>
          <w:sz w:val="16"/>
          <w:szCs w:val="16"/>
        </w:rPr>
      </w:pPr>
    </w:p>
    <w:p w:rsidR="00264893" w:rsidRPr="00462E0D" w:rsidRDefault="003E0264" w:rsidP="00462E0D">
      <w:pPr>
        <w:spacing w:after="0" w:line="240" w:lineRule="auto"/>
        <w:ind w:left="6520"/>
        <w:rPr>
          <w:sz w:val="16"/>
          <w:szCs w:val="16"/>
        </w:rPr>
      </w:pPr>
      <w:r w:rsidRPr="003E0264">
        <w:rPr>
          <w:sz w:val="16"/>
          <w:szCs w:val="16"/>
        </w:rPr>
        <w:t>ÅH, AIS, IC, mars-15</w:t>
      </w:r>
    </w:p>
    <w:sectPr w:rsidR="00264893" w:rsidRPr="0046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0E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47A4E"/>
    <w:multiLevelType w:val="hybridMultilevel"/>
    <w:tmpl w:val="AA6C851C"/>
    <w:lvl w:ilvl="0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A36BF"/>
    <w:multiLevelType w:val="hybridMultilevel"/>
    <w:tmpl w:val="195EA79A"/>
    <w:lvl w:ilvl="0" w:tplc="1FAA3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374FB"/>
    <w:multiLevelType w:val="hybridMultilevel"/>
    <w:tmpl w:val="46A20DAC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93"/>
    <w:rsid w:val="00003CCF"/>
    <w:rsid w:val="00264893"/>
    <w:rsid w:val="003E0264"/>
    <w:rsid w:val="00462E0D"/>
    <w:rsid w:val="006D15D8"/>
    <w:rsid w:val="00D3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4893"/>
    <w:pPr>
      <w:ind w:left="720"/>
      <w:contextualSpacing/>
    </w:pPr>
  </w:style>
  <w:style w:type="table" w:styleId="Tabellrutnt">
    <w:name w:val="Table Grid"/>
    <w:basedOn w:val="Normaltabell"/>
    <w:rsid w:val="00264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anrubrik">
    <w:name w:val="Mellanrubrik"/>
    <w:basedOn w:val="Brdtext"/>
    <w:next w:val="Brdtext"/>
    <w:rsid w:val="00264893"/>
    <w:pPr>
      <w:spacing w:before="240" w:after="60" w:line="240" w:lineRule="auto"/>
    </w:pPr>
    <w:rPr>
      <w:rFonts w:ascii="Times New Roman" w:eastAsia="Times New Roman" w:hAnsi="Times New Roman" w:cs="Arial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6489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64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4893"/>
    <w:pPr>
      <w:ind w:left="720"/>
      <w:contextualSpacing/>
    </w:pPr>
  </w:style>
  <w:style w:type="table" w:styleId="Tabellrutnt">
    <w:name w:val="Table Grid"/>
    <w:basedOn w:val="Normaltabell"/>
    <w:rsid w:val="00264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anrubrik">
    <w:name w:val="Mellanrubrik"/>
    <w:basedOn w:val="Brdtext"/>
    <w:next w:val="Brdtext"/>
    <w:rsid w:val="00264893"/>
    <w:pPr>
      <w:spacing w:before="240" w:after="60" w:line="240" w:lineRule="auto"/>
    </w:pPr>
    <w:rPr>
      <w:rFonts w:ascii="Times New Roman" w:eastAsia="Times New Roman" w:hAnsi="Times New Roman" w:cs="Arial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6489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6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Vaxjo kommun</dc:creator>
  <cp:lastModifiedBy>Vaxjo kommun</cp:lastModifiedBy>
  <cp:revision>2</cp:revision>
  <dcterms:created xsi:type="dcterms:W3CDTF">2015-08-24T14:31:00Z</dcterms:created>
  <dcterms:modified xsi:type="dcterms:W3CDTF">2015-08-24T14:31:00Z</dcterms:modified>
</cp:coreProperties>
</file>