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534D" w14:textId="77777777" w:rsidR="00526CEA" w:rsidRDefault="00526CEA" w:rsidP="00526CEA">
      <w:pPr>
        <w:pStyle w:val="Rubrik1"/>
      </w:pPr>
      <w:bookmarkStart w:id="0" w:name="_GoBack"/>
      <w:bookmarkEnd w:id="0"/>
    </w:p>
    <w:p w14:paraId="221D95C1" w14:textId="77777777" w:rsidR="00526CEA" w:rsidRDefault="00526CEA" w:rsidP="00526CEA">
      <w:pPr>
        <w:pStyle w:val="Rubrik1"/>
      </w:pPr>
    </w:p>
    <w:p w14:paraId="1AD60131" w14:textId="77777777" w:rsidR="00E34548" w:rsidRDefault="00E34548"/>
    <w:tbl>
      <w:tblPr>
        <w:tblStyle w:val="Tabellrutnt"/>
        <w:tblW w:w="9830" w:type="dxa"/>
        <w:tblLook w:val="04A0" w:firstRow="1" w:lastRow="0" w:firstColumn="1" w:lastColumn="0" w:noHBand="0" w:noVBand="1"/>
      </w:tblPr>
      <w:tblGrid>
        <w:gridCol w:w="3408"/>
        <w:gridCol w:w="2038"/>
        <w:gridCol w:w="1943"/>
        <w:gridCol w:w="2441"/>
      </w:tblGrid>
      <w:tr w:rsidR="00413221" w14:paraId="234C9BD8" w14:textId="77777777" w:rsidTr="00762FBC">
        <w:trPr>
          <w:trHeight w:val="601"/>
        </w:trPr>
        <w:tc>
          <w:tcPr>
            <w:tcW w:w="3420" w:type="dxa"/>
          </w:tcPr>
          <w:p w14:paraId="0F0186F2" w14:textId="25CFEE91" w:rsidR="00413221" w:rsidRPr="00413221" w:rsidRDefault="00413221" w:rsidP="00C1229B">
            <w:pPr>
              <w:rPr>
                <w:rFonts w:ascii="Arial" w:hAnsi="Arial" w:cs="Arial"/>
                <w:b/>
                <w:sz w:val="20"/>
                <w:szCs w:val="20"/>
              </w:rPr>
            </w:pPr>
            <w:r w:rsidRPr="00413221">
              <w:rPr>
                <w:rFonts w:ascii="Arial" w:hAnsi="Arial" w:cs="Arial"/>
                <w:b/>
                <w:sz w:val="20"/>
                <w:szCs w:val="20"/>
              </w:rPr>
              <w:t xml:space="preserve">Rutin för </w:t>
            </w:r>
            <w:r w:rsidR="00C1229B">
              <w:rPr>
                <w:rFonts w:ascii="Arial" w:hAnsi="Arial" w:cs="Arial"/>
                <w:b/>
                <w:sz w:val="20"/>
                <w:szCs w:val="20"/>
              </w:rPr>
              <w:t>förebyggande av och behandling av undernäring</w:t>
            </w:r>
          </w:p>
        </w:tc>
        <w:tc>
          <w:tcPr>
            <w:tcW w:w="2017" w:type="dxa"/>
          </w:tcPr>
          <w:p w14:paraId="48A2ADEE" w14:textId="77777777" w:rsidR="00413221" w:rsidRDefault="00413221">
            <w:pPr>
              <w:rPr>
                <w:rFonts w:ascii="Arial" w:hAnsi="Arial" w:cs="Arial"/>
                <w:b/>
                <w:sz w:val="20"/>
                <w:szCs w:val="20"/>
              </w:rPr>
            </w:pPr>
            <w:r w:rsidRPr="00413221">
              <w:rPr>
                <w:rFonts w:ascii="Arial" w:hAnsi="Arial" w:cs="Arial"/>
                <w:b/>
                <w:sz w:val="20"/>
                <w:szCs w:val="20"/>
              </w:rPr>
              <w:t>Godkänd av</w:t>
            </w:r>
          </w:p>
          <w:p w14:paraId="23F77042" w14:textId="6F455F74" w:rsidR="00413221" w:rsidRPr="00413221" w:rsidRDefault="002402D6">
            <w:pPr>
              <w:rPr>
                <w:rFonts w:ascii="Arial" w:hAnsi="Arial" w:cs="Arial"/>
                <w:sz w:val="20"/>
                <w:szCs w:val="20"/>
              </w:rPr>
            </w:pPr>
            <w:r>
              <w:rPr>
                <w:rFonts w:ascii="Arial" w:hAnsi="Arial" w:cs="Arial"/>
                <w:sz w:val="20"/>
                <w:szCs w:val="20"/>
              </w:rPr>
              <w:t>Förvaltningschef</w:t>
            </w:r>
          </w:p>
        </w:tc>
        <w:tc>
          <w:tcPr>
            <w:tcW w:w="1949" w:type="dxa"/>
          </w:tcPr>
          <w:p w14:paraId="669A63EC" w14:textId="77777777" w:rsidR="00413221" w:rsidRDefault="00762FBC" w:rsidP="00413221">
            <w:pPr>
              <w:rPr>
                <w:rFonts w:ascii="Arial" w:hAnsi="Arial" w:cs="Arial"/>
                <w:b/>
                <w:sz w:val="20"/>
                <w:szCs w:val="20"/>
              </w:rPr>
            </w:pPr>
            <w:r>
              <w:rPr>
                <w:rFonts w:ascii="Arial" w:hAnsi="Arial" w:cs="Arial"/>
                <w:b/>
                <w:sz w:val="20"/>
                <w:szCs w:val="20"/>
              </w:rPr>
              <w:t xml:space="preserve">Gäller från </w:t>
            </w:r>
            <w:r w:rsidR="00F47964">
              <w:rPr>
                <w:rFonts w:ascii="Arial" w:hAnsi="Arial" w:cs="Arial"/>
                <w:b/>
                <w:sz w:val="20"/>
                <w:szCs w:val="20"/>
              </w:rPr>
              <w:t>datum</w:t>
            </w:r>
          </w:p>
          <w:p w14:paraId="4BF84DAB" w14:textId="027A1C36" w:rsidR="00762FBC" w:rsidRPr="00762FBC" w:rsidRDefault="002402D6" w:rsidP="00DF66D7">
            <w:pPr>
              <w:rPr>
                <w:rFonts w:ascii="Arial" w:hAnsi="Arial" w:cs="Arial"/>
                <w:sz w:val="20"/>
                <w:szCs w:val="20"/>
              </w:rPr>
            </w:pPr>
            <w:r>
              <w:rPr>
                <w:rFonts w:ascii="Arial" w:hAnsi="Arial" w:cs="Arial"/>
                <w:sz w:val="20"/>
                <w:szCs w:val="20"/>
              </w:rPr>
              <w:t>2016-</w:t>
            </w:r>
            <w:r w:rsidR="00DF66D7">
              <w:rPr>
                <w:rFonts w:ascii="Arial" w:hAnsi="Arial" w:cs="Arial"/>
                <w:sz w:val="20"/>
                <w:szCs w:val="20"/>
              </w:rPr>
              <w:t>05-16</w:t>
            </w:r>
          </w:p>
        </w:tc>
        <w:tc>
          <w:tcPr>
            <w:tcW w:w="2444" w:type="dxa"/>
            <w:vMerge w:val="restart"/>
          </w:tcPr>
          <w:p w14:paraId="0FC87968" w14:textId="77777777" w:rsidR="00413221" w:rsidRDefault="00413221"/>
          <w:p w14:paraId="18E64DEB" w14:textId="77777777" w:rsidR="00413221" w:rsidRDefault="00413221" w:rsidP="006B3A66">
            <w:pPr>
              <w:jc w:val="center"/>
            </w:pPr>
            <w:r>
              <w:rPr>
                <w:noProof/>
                <w:lang w:eastAsia="sv-SE"/>
              </w:rPr>
              <w:drawing>
                <wp:inline distT="0" distB="0" distL="0" distR="0" wp14:anchorId="68ECAD11" wp14:editId="5AB8526C">
                  <wp:extent cx="1143000" cy="697056"/>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_vxj_svensk_svv.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404" cy="702181"/>
                          </a:xfrm>
                          <a:prstGeom prst="rect">
                            <a:avLst/>
                          </a:prstGeom>
                        </pic:spPr>
                      </pic:pic>
                    </a:graphicData>
                  </a:graphic>
                </wp:inline>
              </w:drawing>
            </w:r>
          </w:p>
          <w:p w14:paraId="5648009E" w14:textId="77777777" w:rsidR="00413221" w:rsidRDefault="00413221"/>
        </w:tc>
      </w:tr>
      <w:tr w:rsidR="00413221" w14:paraId="6249DA43" w14:textId="77777777" w:rsidTr="00413221">
        <w:trPr>
          <w:trHeight w:val="426"/>
        </w:trPr>
        <w:tc>
          <w:tcPr>
            <w:tcW w:w="3420" w:type="dxa"/>
            <w:vMerge w:val="restart"/>
          </w:tcPr>
          <w:p w14:paraId="4D037D44" w14:textId="77777777" w:rsidR="00413221" w:rsidRPr="006B3A66" w:rsidRDefault="00413221">
            <w:pPr>
              <w:rPr>
                <w:rFonts w:ascii="Arial" w:hAnsi="Arial" w:cs="Arial"/>
                <w:sz w:val="20"/>
                <w:szCs w:val="20"/>
              </w:rPr>
            </w:pPr>
            <w:r w:rsidRPr="00413221">
              <w:rPr>
                <w:rFonts w:ascii="Arial" w:hAnsi="Arial" w:cs="Arial"/>
                <w:b/>
                <w:sz w:val="20"/>
                <w:szCs w:val="20"/>
              </w:rPr>
              <w:t>Gäller för</w:t>
            </w:r>
            <w:r w:rsidRPr="006B3A66">
              <w:rPr>
                <w:rFonts w:ascii="Arial" w:hAnsi="Arial" w:cs="Arial"/>
                <w:sz w:val="20"/>
                <w:szCs w:val="20"/>
              </w:rPr>
              <w:t xml:space="preserve"> </w:t>
            </w:r>
            <w:r w:rsidRPr="006B3A66">
              <w:rPr>
                <w:rFonts w:ascii="Arial" w:hAnsi="Arial" w:cs="Arial"/>
                <w:sz w:val="20"/>
                <w:szCs w:val="20"/>
              </w:rPr>
              <w:br/>
            </w:r>
            <w:r>
              <w:rPr>
                <w:rFonts w:ascii="Arial" w:hAnsi="Arial" w:cs="Arial"/>
                <w:sz w:val="20"/>
                <w:szCs w:val="20"/>
              </w:rPr>
              <w:t>B</w:t>
            </w:r>
            <w:r w:rsidRPr="006B3A66">
              <w:rPr>
                <w:rFonts w:ascii="Arial" w:hAnsi="Arial" w:cs="Arial"/>
                <w:sz w:val="20"/>
                <w:szCs w:val="20"/>
              </w:rPr>
              <w:t>aspersonal, sjuksköterskor</w:t>
            </w:r>
            <w:r>
              <w:rPr>
                <w:rFonts w:ascii="Arial" w:hAnsi="Arial" w:cs="Arial"/>
                <w:sz w:val="20"/>
                <w:szCs w:val="20"/>
              </w:rPr>
              <w:t>, enhetschefer</w:t>
            </w:r>
          </w:p>
        </w:tc>
        <w:tc>
          <w:tcPr>
            <w:tcW w:w="2017" w:type="dxa"/>
          </w:tcPr>
          <w:p w14:paraId="19E984B4" w14:textId="77777777" w:rsidR="00413221" w:rsidRDefault="00413221">
            <w:pPr>
              <w:rPr>
                <w:rFonts w:ascii="Arial" w:hAnsi="Arial" w:cs="Arial"/>
                <w:b/>
                <w:sz w:val="20"/>
                <w:szCs w:val="20"/>
              </w:rPr>
            </w:pPr>
            <w:r w:rsidRPr="00413221">
              <w:rPr>
                <w:rFonts w:ascii="Arial" w:hAnsi="Arial" w:cs="Arial"/>
                <w:b/>
                <w:sz w:val="20"/>
                <w:szCs w:val="20"/>
              </w:rPr>
              <w:t>Dokumentansvarig</w:t>
            </w:r>
          </w:p>
          <w:p w14:paraId="2E94AF8E" w14:textId="77777777" w:rsidR="00413221" w:rsidRPr="00413221" w:rsidRDefault="00413221">
            <w:pPr>
              <w:rPr>
                <w:rFonts w:ascii="Arial" w:hAnsi="Arial" w:cs="Arial"/>
                <w:sz w:val="20"/>
                <w:szCs w:val="20"/>
              </w:rPr>
            </w:pPr>
          </w:p>
        </w:tc>
        <w:tc>
          <w:tcPr>
            <w:tcW w:w="1949" w:type="dxa"/>
          </w:tcPr>
          <w:p w14:paraId="191F9CFA" w14:textId="77777777" w:rsidR="00413221" w:rsidRDefault="00762FBC">
            <w:pPr>
              <w:rPr>
                <w:rFonts w:ascii="Arial" w:hAnsi="Arial" w:cs="Arial"/>
                <w:b/>
                <w:sz w:val="20"/>
                <w:szCs w:val="20"/>
              </w:rPr>
            </w:pPr>
            <w:proofErr w:type="gramStart"/>
            <w:r>
              <w:rPr>
                <w:rFonts w:ascii="Arial" w:hAnsi="Arial" w:cs="Arial"/>
                <w:b/>
                <w:sz w:val="20"/>
                <w:szCs w:val="20"/>
              </w:rPr>
              <w:t>Beslutad</w:t>
            </w:r>
            <w:proofErr w:type="gramEnd"/>
            <w:r w:rsidR="00F47964">
              <w:rPr>
                <w:rFonts w:ascii="Arial" w:hAnsi="Arial" w:cs="Arial"/>
                <w:b/>
                <w:sz w:val="20"/>
                <w:szCs w:val="20"/>
              </w:rPr>
              <w:t xml:space="preserve"> datum</w:t>
            </w:r>
          </w:p>
          <w:p w14:paraId="6CD5D3BF" w14:textId="69FA4FDE" w:rsidR="00762FBC" w:rsidRPr="00762FBC" w:rsidRDefault="002402D6">
            <w:pPr>
              <w:rPr>
                <w:rFonts w:ascii="Arial" w:hAnsi="Arial" w:cs="Arial"/>
                <w:sz w:val="20"/>
                <w:szCs w:val="20"/>
              </w:rPr>
            </w:pPr>
            <w:r>
              <w:rPr>
                <w:rFonts w:ascii="Arial" w:hAnsi="Arial" w:cs="Arial"/>
                <w:sz w:val="20"/>
                <w:szCs w:val="20"/>
              </w:rPr>
              <w:t>2016-04-05</w:t>
            </w:r>
          </w:p>
        </w:tc>
        <w:tc>
          <w:tcPr>
            <w:tcW w:w="2444" w:type="dxa"/>
            <w:vMerge/>
          </w:tcPr>
          <w:p w14:paraId="622937AD" w14:textId="77777777" w:rsidR="00413221" w:rsidRDefault="00413221"/>
        </w:tc>
      </w:tr>
      <w:tr w:rsidR="00413221" w14:paraId="4F1E5983" w14:textId="77777777" w:rsidTr="00F47964">
        <w:trPr>
          <w:trHeight w:val="517"/>
        </w:trPr>
        <w:tc>
          <w:tcPr>
            <w:tcW w:w="3420" w:type="dxa"/>
            <w:vMerge/>
          </w:tcPr>
          <w:p w14:paraId="46472431" w14:textId="77777777" w:rsidR="00413221" w:rsidRPr="00413221" w:rsidRDefault="00413221">
            <w:pPr>
              <w:rPr>
                <w:rFonts w:ascii="Arial" w:hAnsi="Arial" w:cs="Arial"/>
                <w:b/>
                <w:sz w:val="20"/>
                <w:szCs w:val="20"/>
              </w:rPr>
            </w:pPr>
          </w:p>
        </w:tc>
        <w:tc>
          <w:tcPr>
            <w:tcW w:w="2017" w:type="dxa"/>
          </w:tcPr>
          <w:p w14:paraId="32443C33" w14:textId="56215BB7" w:rsidR="00413221" w:rsidRDefault="005B74A2">
            <w:pPr>
              <w:rPr>
                <w:rFonts w:ascii="Arial" w:hAnsi="Arial" w:cs="Arial"/>
                <w:b/>
                <w:sz w:val="20"/>
                <w:szCs w:val="20"/>
              </w:rPr>
            </w:pPr>
            <w:r>
              <w:rPr>
                <w:rFonts w:ascii="Arial" w:hAnsi="Arial" w:cs="Arial"/>
                <w:b/>
                <w:sz w:val="20"/>
                <w:szCs w:val="20"/>
              </w:rPr>
              <w:t>Uppföljningsdatum</w:t>
            </w:r>
          </w:p>
          <w:p w14:paraId="7EC6468B" w14:textId="77777777" w:rsidR="005B74A2" w:rsidRPr="005B74A2" w:rsidRDefault="005B74A2">
            <w:pPr>
              <w:rPr>
                <w:rFonts w:ascii="Arial" w:hAnsi="Arial" w:cs="Arial"/>
                <w:sz w:val="20"/>
                <w:szCs w:val="20"/>
              </w:rPr>
            </w:pPr>
          </w:p>
        </w:tc>
        <w:tc>
          <w:tcPr>
            <w:tcW w:w="1949" w:type="dxa"/>
          </w:tcPr>
          <w:p w14:paraId="178D306B" w14:textId="77777777" w:rsidR="00413221" w:rsidRDefault="00762FBC">
            <w:pPr>
              <w:rPr>
                <w:rFonts w:ascii="Arial" w:hAnsi="Arial" w:cs="Arial"/>
                <w:b/>
                <w:sz w:val="20"/>
                <w:szCs w:val="20"/>
              </w:rPr>
            </w:pPr>
            <w:r>
              <w:rPr>
                <w:rFonts w:ascii="Arial" w:hAnsi="Arial" w:cs="Arial"/>
                <w:b/>
                <w:sz w:val="20"/>
                <w:szCs w:val="20"/>
              </w:rPr>
              <w:t>Ersätter</w:t>
            </w:r>
            <w:r w:rsidR="00F47964">
              <w:rPr>
                <w:rFonts w:ascii="Arial" w:hAnsi="Arial" w:cs="Arial"/>
                <w:b/>
                <w:sz w:val="20"/>
                <w:szCs w:val="20"/>
              </w:rPr>
              <w:t xml:space="preserve"> datum</w:t>
            </w:r>
          </w:p>
          <w:p w14:paraId="1E873E55" w14:textId="77777777" w:rsidR="00762FBC" w:rsidRPr="00762FBC" w:rsidRDefault="00762FBC">
            <w:pPr>
              <w:rPr>
                <w:rFonts w:ascii="Arial" w:hAnsi="Arial" w:cs="Arial"/>
                <w:sz w:val="20"/>
                <w:szCs w:val="20"/>
              </w:rPr>
            </w:pPr>
          </w:p>
        </w:tc>
        <w:tc>
          <w:tcPr>
            <w:tcW w:w="2444" w:type="dxa"/>
            <w:vMerge/>
          </w:tcPr>
          <w:p w14:paraId="456F04F7" w14:textId="77777777" w:rsidR="00413221" w:rsidRDefault="00413221"/>
        </w:tc>
      </w:tr>
    </w:tbl>
    <w:p w14:paraId="5A5CD200" w14:textId="77777777" w:rsidR="00E34548" w:rsidRDefault="00E34548"/>
    <w:p w14:paraId="35F13AEB" w14:textId="77777777" w:rsidR="00655F24" w:rsidRPr="00655F24" w:rsidRDefault="00725E4A">
      <w:pPr>
        <w:rPr>
          <w:rFonts w:ascii="Arial" w:hAnsi="Arial" w:cs="Arial"/>
          <w:b/>
          <w:sz w:val="28"/>
          <w:szCs w:val="28"/>
        </w:rPr>
      </w:pPr>
      <w:r>
        <w:rPr>
          <w:rFonts w:ascii="Arial" w:hAnsi="Arial" w:cs="Arial"/>
          <w:b/>
          <w:sz w:val="28"/>
          <w:szCs w:val="28"/>
        </w:rPr>
        <w:t>Rutin</w:t>
      </w:r>
      <w:r w:rsidR="00847AF7">
        <w:rPr>
          <w:rFonts w:ascii="Arial" w:hAnsi="Arial" w:cs="Arial"/>
          <w:b/>
          <w:sz w:val="28"/>
          <w:szCs w:val="28"/>
        </w:rPr>
        <w:t xml:space="preserve"> för </w:t>
      </w:r>
      <w:r>
        <w:rPr>
          <w:rFonts w:ascii="Arial" w:hAnsi="Arial" w:cs="Arial"/>
          <w:b/>
          <w:sz w:val="28"/>
          <w:szCs w:val="28"/>
        </w:rPr>
        <w:t>förebyggande av och behandling vid undernäring</w:t>
      </w:r>
    </w:p>
    <w:p w14:paraId="026E18F3" w14:textId="77777777" w:rsidR="00392D4C" w:rsidRPr="001A2CFD" w:rsidRDefault="00392D4C">
      <w:pPr>
        <w:rPr>
          <w:rFonts w:ascii="Arial" w:hAnsi="Arial" w:cs="Arial"/>
          <w:b/>
          <w:szCs w:val="24"/>
        </w:rPr>
      </w:pPr>
      <w:r w:rsidRPr="001A2CFD">
        <w:rPr>
          <w:rFonts w:ascii="Arial" w:hAnsi="Arial" w:cs="Arial"/>
          <w:b/>
          <w:szCs w:val="24"/>
        </w:rPr>
        <w:t>Innehållsförteckning</w:t>
      </w:r>
    </w:p>
    <w:p w14:paraId="54BFD201" w14:textId="77777777" w:rsidR="001A2CFD" w:rsidRDefault="00DA3579">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"1-1" \h \z \u </w:instrText>
      </w:r>
      <w:r>
        <w:fldChar w:fldCharType="separate"/>
      </w:r>
      <w:hyperlink w:anchor="_Toc363739788" w:history="1">
        <w:r w:rsidR="001A2CFD" w:rsidRPr="00EA4E65">
          <w:rPr>
            <w:rStyle w:val="Hyperlnk"/>
            <w:noProof/>
          </w:rPr>
          <w:t>Inledning</w:t>
        </w:r>
        <w:r w:rsidR="001A2CFD">
          <w:rPr>
            <w:noProof/>
            <w:webHidden/>
          </w:rPr>
          <w:tab/>
        </w:r>
        <w:r w:rsidR="001A2CFD">
          <w:rPr>
            <w:noProof/>
            <w:webHidden/>
          </w:rPr>
          <w:fldChar w:fldCharType="begin"/>
        </w:r>
        <w:r w:rsidR="001A2CFD">
          <w:rPr>
            <w:noProof/>
            <w:webHidden/>
          </w:rPr>
          <w:instrText xml:space="preserve"> PAGEREF _Toc363739788 \h </w:instrText>
        </w:r>
        <w:r w:rsidR="001A2CFD">
          <w:rPr>
            <w:noProof/>
            <w:webHidden/>
          </w:rPr>
        </w:r>
        <w:r w:rsidR="001A2CFD">
          <w:rPr>
            <w:noProof/>
            <w:webHidden/>
          </w:rPr>
          <w:fldChar w:fldCharType="separate"/>
        </w:r>
        <w:r w:rsidR="001A2CFD">
          <w:rPr>
            <w:noProof/>
            <w:webHidden/>
          </w:rPr>
          <w:t>2</w:t>
        </w:r>
        <w:r w:rsidR="001A2CFD">
          <w:rPr>
            <w:noProof/>
            <w:webHidden/>
          </w:rPr>
          <w:fldChar w:fldCharType="end"/>
        </w:r>
      </w:hyperlink>
    </w:p>
    <w:p w14:paraId="5DE86541" w14:textId="77777777" w:rsidR="001A2CFD" w:rsidRDefault="00F92A43">
      <w:pPr>
        <w:pStyle w:val="Innehll1"/>
        <w:tabs>
          <w:tab w:val="right" w:leader="dot" w:pos="9062"/>
        </w:tabs>
        <w:rPr>
          <w:rFonts w:asciiTheme="minorHAnsi" w:eastAsiaTheme="minorEastAsia" w:hAnsiTheme="minorHAnsi"/>
          <w:noProof/>
          <w:sz w:val="22"/>
          <w:lang w:eastAsia="sv-SE"/>
        </w:rPr>
      </w:pPr>
      <w:hyperlink w:anchor="_Toc363739789" w:history="1">
        <w:r w:rsidR="001A2CFD" w:rsidRPr="00EA4E65">
          <w:rPr>
            <w:rStyle w:val="Hyperlnk"/>
            <w:noProof/>
          </w:rPr>
          <w:t>Bakgrund och syfte</w:t>
        </w:r>
        <w:r w:rsidR="001A2CFD">
          <w:rPr>
            <w:noProof/>
            <w:webHidden/>
          </w:rPr>
          <w:tab/>
        </w:r>
        <w:r w:rsidR="001A2CFD">
          <w:rPr>
            <w:noProof/>
            <w:webHidden/>
          </w:rPr>
          <w:fldChar w:fldCharType="begin"/>
        </w:r>
        <w:r w:rsidR="001A2CFD">
          <w:rPr>
            <w:noProof/>
            <w:webHidden/>
          </w:rPr>
          <w:instrText xml:space="preserve"> PAGEREF _Toc363739789 \h </w:instrText>
        </w:r>
        <w:r w:rsidR="001A2CFD">
          <w:rPr>
            <w:noProof/>
            <w:webHidden/>
          </w:rPr>
        </w:r>
        <w:r w:rsidR="001A2CFD">
          <w:rPr>
            <w:noProof/>
            <w:webHidden/>
          </w:rPr>
          <w:fldChar w:fldCharType="separate"/>
        </w:r>
        <w:r w:rsidR="001A2CFD">
          <w:rPr>
            <w:noProof/>
            <w:webHidden/>
          </w:rPr>
          <w:t>2</w:t>
        </w:r>
        <w:r w:rsidR="001A2CFD">
          <w:rPr>
            <w:noProof/>
            <w:webHidden/>
          </w:rPr>
          <w:fldChar w:fldCharType="end"/>
        </w:r>
      </w:hyperlink>
    </w:p>
    <w:p w14:paraId="378146E1" w14:textId="77777777" w:rsidR="001A2CFD" w:rsidRDefault="00F92A43">
      <w:pPr>
        <w:pStyle w:val="Innehll1"/>
        <w:tabs>
          <w:tab w:val="right" w:leader="dot" w:pos="9062"/>
        </w:tabs>
        <w:rPr>
          <w:rFonts w:asciiTheme="minorHAnsi" w:eastAsiaTheme="minorEastAsia" w:hAnsiTheme="minorHAnsi"/>
          <w:noProof/>
          <w:sz w:val="22"/>
          <w:lang w:eastAsia="sv-SE"/>
        </w:rPr>
      </w:pPr>
      <w:hyperlink w:anchor="_Toc363739790" w:history="1">
        <w:r w:rsidR="001A2CFD" w:rsidRPr="00EA4E65">
          <w:rPr>
            <w:rStyle w:val="Hyperlnk"/>
            <w:noProof/>
          </w:rPr>
          <w:t>Växjö kommuns ansvar</w:t>
        </w:r>
        <w:r w:rsidR="001A2CFD">
          <w:rPr>
            <w:noProof/>
            <w:webHidden/>
          </w:rPr>
          <w:tab/>
        </w:r>
        <w:r w:rsidR="001A2CFD">
          <w:rPr>
            <w:noProof/>
            <w:webHidden/>
          </w:rPr>
          <w:fldChar w:fldCharType="begin"/>
        </w:r>
        <w:r w:rsidR="001A2CFD">
          <w:rPr>
            <w:noProof/>
            <w:webHidden/>
          </w:rPr>
          <w:instrText xml:space="preserve"> PAGEREF _Toc363739790 \h </w:instrText>
        </w:r>
        <w:r w:rsidR="001A2CFD">
          <w:rPr>
            <w:noProof/>
            <w:webHidden/>
          </w:rPr>
        </w:r>
        <w:r w:rsidR="001A2CFD">
          <w:rPr>
            <w:noProof/>
            <w:webHidden/>
          </w:rPr>
          <w:fldChar w:fldCharType="separate"/>
        </w:r>
        <w:r w:rsidR="001A2CFD">
          <w:rPr>
            <w:noProof/>
            <w:webHidden/>
          </w:rPr>
          <w:t>2</w:t>
        </w:r>
        <w:r w:rsidR="001A2CFD">
          <w:rPr>
            <w:noProof/>
            <w:webHidden/>
          </w:rPr>
          <w:fldChar w:fldCharType="end"/>
        </w:r>
      </w:hyperlink>
    </w:p>
    <w:p w14:paraId="7588FE86" w14:textId="6319B4EA" w:rsidR="001A2CFD" w:rsidRDefault="00F92A43">
      <w:pPr>
        <w:pStyle w:val="Innehll1"/>
        <w:tabs>
          <w:tab w:val="right" w:leader="dot" w:pos="9062"/>
        </w:tabs>
        <w:rPr>
          <w:rFonts w:asciiTheme="minorHAnsi" w:eastAsiaTheme="minorEastAsia" w:hAnsiTheme="minorHAnsi"/>
          <w:noProof/>
          <w:sz w:val="22"/>
          <w:lang w:eastAsia="sv-SE"/>
        </w:rPr>
      </w:pPr>
      <w:hyperlink w:anchor="_Toc363739791" w:history="1">
        <w:r w:rsidR="002E1930">
          <w:rPr>
            <w:rStyle w:val="Hyperlnk"/>
            <w:noProof/>
          </w:rPr>
          <w:t>Regelverk………………………………………………………………………………………</w:t>
        </w:r>
        <w:r w:rsidR="00A10443">
          <w:rPr>
            <w:rStyle w:val="Hyperlnk"/>
            <w:noProof/>
          </w:rPr>
          <w:t>3</w:t>
        </w:r>
      </w:hyperlink>
    </w:p>
    <w:p w14:paraId="4EA7B19B" w14:textId="77777777" w:rsidR="00912E34" w:rsidRDefault="00DA3579">
      <w:r>
        <w:fldChar w:fldCharType="end"/>
      </w:r>
    </w:p>
    <w:p w14:paraId="125576A8" w14:textId="77777777" w:rsidR="00DA3579" w:rsidRDefault="00DA3579"/>
    <w:p w14:paraId="73B5BB5B" w14:textId="77777777" w:rsidR="00DA3579" w:rsidRDefault="00DA3579"/>
    <w:p w14:paraId="1DE19855" w14:textId="77777777" w:rsidR="00DA3579" w:rsidRDefault="00DA3579"/>
    <w:p w14:paraId="729DBB89" w14:textId="77777777" w:rsidR="00DA3579" w:rsidRDefault="00DA3579"/>
    <w:p w14:paraId="28305BA0" w14:textId="77777777" w:rsidR="00DA3579" w:rsidRDefault="00DA3579"/>
    <w:p w14:paraId="6237CF7B" w14:textId="77777777" w:rsidR="00DA3579" w:rsidRDefault="00DA3579"/>
    <w:p w14:paraId="121F9108" w14:textId="77777777" w:rsidR="00DA3579" w:rsidRDefault="00DA3579"/>
    <w:p w14:paraId="600B903C" w14:textId="77777777" w:rsidR="00DA3579" w:rsidRDefault="00DA3579"/>
    <w:p w14:paraId="36A92DB5" w14:textId="77777777" w:rsidR="00DA3579" w:rsidRDefault="00DA3579"/>
    <w:p w14:paraId="134B3F6A" w14:textId="77777777" w:rsidR="00DA3579" w:rsidRDefault="00DA3579"/>
    <w:p w14:paraId="48CC83FF" w14:textId="77777777" w:rsidR="00F97966" w:rsidRDefault="00F97966" w:rsidP="00912E34">
      <w:pPr>
        <w:pStyle w:val="Rubrik1"/>
      </w:pPr>
    </w:p>
    <w:p w14:paraId="68F0BA35" w14:textId="77777777" w:rsidR="00912E34" w:rsidRDefault="001A2CFD" w:rsidP="00912E34">
      <w:pPr>
        <w:pStyle w:val="Rubrik1"/>
      </w:pPr>
      <w:r>
        <w:br/>
      </w:r>
      <w:r w:rsidR="00F97966">
        <w:br/>
      </w:r>
      <w:bookmarkStart w:id="1" w:name="_Toc363739788"/>
      <w:r w:rsidR="00912E34">
        <w:t>Inledning</w:t>
      </w:r>
      <w:bookmarkEnd w:id="1"/>
    </w:p>
    <w:p w14:paraId="762464A8" w14:textId="77777777" w:rsidR="00637396" w:rsidRDefault="00361A05" w:rsidP="00637396">
      <w:r>
        <w:rPr>
          <w:sz w:val="23"/>
          <w:szCs w:val="23"/>
        </w:rPr>
        <w:t xml:space="preserve">Socialstyrelsen har tagit fram nya föreskrifter och allmänna råd, </w:t>
      </w:r>
      <w:r>
        <w:rPr>
          <w:i/>
          <w:sz w:val="23"/>
          <w:szCs w:val="23"/>
        </w:rPr>
        <w:t xml:space="preserve">Förebyggande av och behandling av undernäring </w:t>
      </w:r>
      <w:r>
        <w:rPr>
          <w:sz w:val="23"/>
          <w:szCs w:val="23"/>
        </w:rPr>
        <w:t xml:space="preserve">(SOSFS 2014:10) som började gälla den 1 januari 2015. Föreskrifterna ställer krav på rutiner inom hälso- och sjukvård i region och kommunal verksamhet och inom socialtjänst och verksamhet enligt LSS. Som ett komplement till föreskrifterna har Socialstyrelsen sedan tidigare tagit fram en vägledning med praktiskt stöd </w:t>
      </w:r>
      <w:r>
        <w:rPr>
          <w:sz w:val="23"/>
          <w:szCs w:val="23"/>
        </w:rPr>
        <w:lastRenderedPageBreak/>
        <w:t>för hur vården och omsorgen kan arbeta för att förebygga och behandla undernäring</w:t>
      </w:r>
    </w:p>
    <w:p w14:paraId="6D368654" w14:textId="77777777" w:rsidR="00637396" w:rsidRDefault="00637396" w:rsidP="00637396">
      <w:pPr>
        <w:rPr>
          <w:rStyle w:val="Rubrik1Char"/>
        </w:rPr>
      </w:pPr>
      <w:bookmarkStart w:id="2" w:name="_Toc363739789"/>
    </w:p>
    <w:p w14:paraId="5FCC23BF" w14:textId="77777777" w:rsidR="00361A05" w:rsidRDefault="00912E34" w:rsidP="00361A05">
      <w:pPr>
        <w:rPr>
          <w:rStyle w:val="Rubrik1Char"/>
        </w:rPr>
      </w:pPr>
      <w:r w:rsidRPr="00637396">
        <w:rPr>
          <w:rStyle w:val="Rubrik1Char"/>
        </w:rPr>
        <w:t>Bakgrund och syfte</w:t>
      </w:r>
      <w:bookmarkStart w:id="3" w:name="_Toc363739790"/>
      <w:bookmarkEnd w:id="2"/>
    </w:p>
    <w:p w14:paraId="3584517F" w14:textId="77777777" w:rsidR="00361A05" w:rsidRPr="00361A05" w:rsidRDefault="00361A05" w:rsidP="00361A05">
      <w:pPr>
        <w:rPr>
          <w:rFonts w:cs="Times New Roman"/>
          <w:szCs w:val="24"/>
        </w:rPr>
      </w:pPr>
      <w:r w:rsidRPr="00361A05">
        <w:rPr>
          <w:rFonts w:cs="Times New Roman"/>
          <w:szCs w:val="24"/>
        </w:rPr>
        <w:t>Undernäring är vanligt förekommande, främst bland svårt sjuka och äldre. Med undernäring avses ett ”tillstånd där brist på energi, protein eller andra näringsämnen har orsakat mätbara och ogynnsamma förändringar i kroppens sammansättning, funktion eller av en persons sjukdomsförlopp”. Undernäring är ofta både underdiagnostiserat och underbehandlat. Med tydliga rutiner för att förebygga, upptäcka och behandla undernäring kan både onödigt lidande och dödsfall undvikas</w:t>
      </w:r>
    </w:p>
    <w:p w14:paraId="30373953" w14:textId="77777777" w:rsidR="00912E34" w:rsidRDefault="00637396" w:rsidP="00912E34">
      <w:pPr>
        <w:pStyle w:val="Rubrik1"/>
      </w:pPr>
      <w:r>
        <w:t>V</w:t>
      </w:r>
      <w:r w:rsidR="00912E34">
        <w:t>äxjö kommuns ansvar</w:t>
      </w:r>
      <w:bookmarkEnd w:id="3"/>
    </w:p>
    <w:p w14:paraId="519EE3DE" w14:textId="77777777" w:rsidR="00361A05" w:rsidRPr="00361A05" w:rsidRDefault="00361A05" w:rsidP="00593CB7">
      <w:pPr>
        <w:pStyle w:val="Rubrik1"/>
      </w:pPr>
      <w:r w:rsidRPr="00361A05">
        <w:t>Rutin för förebyggande av och behandling av undernäring</w:t>
      </w:r>
    </w:p>
    <w:p w14:paraId="579896C3" w14:textId="77777777" w:rsidR="00361A05" w:rsidRDefault="00361A05" w:rsidP="00682347">
      <w:pPr>
        <w:pStyle w:val="Rubrik1"/>
        <w:rPr>
          <w:rStyle w:val="Stark"/>
          <w:b/>
        </w:rPr>
      </w:pPr>
      <w:r w:rsidRPr="00682347">
        <w:rPr>
          <w:rStyle w:val="Stark"/>
          <w:b/>
        </w:rPr>
        <w:t>Hälso- och sjukvård</w:t>
      </w:r>
    </w:p>
    <w:p w14:paraId="6F0B3A71" w14:textId="77777777" w:rsidR="00682347" w:rsidRPr="00682347" w:rsidRDefault="00682347" w:rsidP="00682347"/>
    <w:p w14:paraId="13DC8BE3" w14:textId="77777777" w:rsidR="00387419" w:rsidRPr="00682347" w:rsidRDefault="00A678C5" w:rsidP="00593CB7">
      <w:pPr>
        <w:rPr>
          <w:b/>
          <w:i/>
        </w:rPr>
      </w:pPr>
      <w:r w:rsidRPr="00682347">
        <w:rPr>
          <w:b/>
          <w:i/>
        </w:rPr>
        <w:t>När en patients näringstillstånd ska utredas</w:t>
      </w:r>
    </w:p>
    <w:p w14:paraId="65B037ED" w14:textId="6C5A0383" w:rsidR="001B51F2" w:rsidRPr="002E3552" w:rsidRDefault="001B51F2" w:rsidP="00593CB7">
      <w:pPr>
        <w:rPr>
          <w:u w:val="single"/>
        </w:rPr>
      </w:pPr>
      <w:r w:rsidRPr="002E3552">
        <w:rPr>
          <w:u w:val="single"/>
        </w:rPr>
        <w:t>Äldreomsorg</w:t>
      </w:r>
      <w:r w:rsidR="002E3552" w:rsidRPr="002E3552">
        <w:rPr>
          <w:u w:val="single"/>
        </w:rPr>
        <w:t xml:space="preserve"> p</w:t>
      </w:r>
      <w:r w:rsidRPr="002E3552">
        <w:rPr>
          <w:u w:val="single"/>
        </w:rPr>
        <w:t>atienter över 65 år</w:t>
      </w:r>
    </w:p>
    <w:p w14:paraId="0B0A227E" w14:textId="78D709F2" w:rsidR="00361A05" w:rsidRPr="00361A05" w:rsidRDefault="001B51F2" w:rsidP="00593CB7">
      <w:pPr>
        <w:pStyle w:val="Liststycke"/>
        <w:numPr>
          <w:ilvl w:val="0"/>
          <w:numId w:val="5"/>
        </w:numPr>
      </w:pPr>
      <w:r>
        <w:lastRenderedPageBreak/>
        <w:t>A</w:t>
      </w:r>
      <w:r w:rsidR="00361A05" w:rsidRPr="00593CB7">
        <w:t xml:space="preserve">lla </w:t>
      </w:r>
      <w:r>
        <w:t xml:space="preserve">patienter över </w:t>
      </w:r>
      <w:r w:rsidR="00361A05" w:rsidRPr="00593CB7">
        <w:t xml:space="preserve">65 år </w:t>
      </w:r>
      <w:r w:rsidR="002E3552">
        <w:t xml:space="preserve">ska </w:t>
      </w:r>
      <w:r w:rsidR="00361A05" w:rsidRPr="00593CB7">
        <w:t xml:space="preserve">erbjudas riskbedömning med Mini </w:t>
      </w:r>
      <w:proofErr w:type="spellStart"/>
      <w:r w:rsidR="00361A05" w:rsidRPr="00593CB7">
        <w:t>Nutritional</w:t>
      </w:r>
      <w:proofErr w:type="spellEnd"/>
      <w:r w:rsidR="00361A05" w:rsidRPr="00593CB7">
        <w:t xml:space="preserve"> </w:t>
      </w:r>
      <w:proofErr w:type="spellStart"/>
      <w:r w:rsidR="00361A05" w:rsidRPr="00593CB7">
        <w:t>Assessment</w:t>
      </w:r>
      <w:proofErr w:type="spellEnd"/>
      <w:r w:rsidR="00361A05" w:rsidRPr="00593CB7">
        <w:t xml:space="preserve"> (MNA) i</w:t>
      </w:r>
      <w:r w:rsidR="00361A05" w:rsidRPr="00361A05">
        <w:t xml:space="preserve"> Senior alert, så kallad nutritionsscreening</w:t>
      </w:r>
      <w:r w:rsidR="00361A05" w:rsidRPr="00A10443">
        <w:t>, vid in</w:t>
      </w:r>
      <w:r w:rsidR="002402D6" w:rsidRPr="00A10443">
        <w:t>flyttning</w:t>
      </w:r>
      <w:r w:rsidR="00361A05" w:rsidRPr="00A10443">
        <w:t xml:space="preserve"> på särskilt </w:t>
      </w:r>
      <w:r w:rsidR="002402D6" w:rsidRPr="00A10443">
        <w:t xml:space="preserve">boende </w:t>
      </w:r>
      <w:r w:rsidR="00361A05" w:rsidRPr="00A10443">
        <w:t>eller</w:t>
      </w:r>
      <w:r w:rsidR="002402D6" w:rsidRPr="00A10443">
        <w:t xml:space="preserve"> när insatser påbörjas</w:t>
      </w:r>
      <w:r w:rsidR="00361A05" w:rsidRPr="00A10443">
        <w:t xml:space="preserve"> i ordinärt boende. </w:t>
      </w:r>
      <w:r w:rsidR="00F7248B" w:rsidRPr="00A10443">
        <w:t>Sjuksköterska ansvar</w:t>
      </w:r>
      <w:r w:rsidR="00F7248B">
        <w:t>ar för att bedömning görs.</w:t>
      </w:r>
    </w:p>
    <w:p w14:paraId="41FAD844" w14:textId="77777777" w:rsidR="004B7322" w:rsidRDefault="00361A05" w:rsidP="00593CB7">
      <w:pPr>
        <w:pStyle w:val="Liststycke"/>
        <w:numPr>
          <w:ilvl w:val="0"/>
          <w:numId w:val="5"/>
        </w:numPr>
      </w:pPr>
      <w:r w:rsidRPr="00361A05">
        <w:t xml:space="preserve">Om ingen risk för undernäring identifieras erbjuds ny riskbedömning efter ett år eller tidigare vid behov, t.ex. vid förändrat hälsotillstånd. </w:t>
      </w:r>
    </w:p>
    <w:p w14:paraId="1FB01CFB" w14:textId="2F5A4A5A" w:rsidR="002402D6" w:rsidRPr="00A10443" w:rsidRDefault="002402D6" w:rsidP="002402D6">
      <w:pPr>
        <w:pStyle w:val="Liststycke"/>
        <w:numPr>
          <w:ilvl w:val="0"/>
          <w:numId w:val="5"/>
        </w:numPr>
      </w:pPr>
      <w:r w:rsidRPr="00A10443">
        <w:t xml:space="preserve">Vägning ska erbjudas i samband med </w:t>
      </w:r>
      <w:r w:rsidR="00A10443">
        <w:t xml:space="preserve">årlig </w:t>
      </w:r>
      <w:r w:rsidRPr="00A10443">
        <w:t>riskbedömning. Vid identifierad risk för undernäring sker vägning oftare efter behov.</w:t>
      </w:r>
    </w:p>
    <w:p w14:paraId="2A269723" w14:textId="77777777" w:rsidR="00361A05" w:rsidRDefault="00361A05" w:rsidP="00593CB7">
      <w:pPr>
        <w:pStyle w:val="Liststycke"/>
        <w:numPr>
          <w:ilvl w:val="0"/>
          <w:numId w:val="5"/>
        </w:numPr>
      </w:pPr>
      <w:r w:rsidRPr="00361A05">
        <w:t xml:space="preserve">Vid risk för undernäring eller vid undernäring ska näringstillståndet vidare utredas. </w:t>
      </w:r>
    </w:p>
    <w:p w14:paraId="7392F7A4" w14:textId="77777777" w:rsidR="001B51F2" w:rsidRPr="00361A05" w:rsidRDefault="001B51F2" w:rsidP="001B51F2">
      <w:pPr>
        <w:pStyle w:val="Liststycke"/>
        <w:numPr>
          <w:ilvl w:val="0"/>
          <w:numId w:val="5"/>
        </w:numPr>
      </w:pPr>
      <w:r w:rsidRPr="00361A05">
        <w:t xml:space="preserve">Allt som registreras i Senior alert ska också dokumenteras i journalen. </w:t>
      </w:r>
    </w:p>
    <w:p w14:paraId="5B0A743B" w14:textId="77777777" w:rsidR="001B51F2" w:rsidRDefault="001B51F2" w:rsidP="001B51F2">
      <w:pPr>
        <w:pStyle w:val="Liststycke"/>
      </w:pPr>
    </w:p>
    <w:p w14:paraId="5D54E42A" w14:textId="088AFF76" w:rsidR="001B51F2" w:rsidRPr="002E3552" w:rsidRDefault="002402D6" w:rsidP="001B51F2">
      <w:pPr>
        <w:rPr>
          <w:u w:val="single"/>
        </w:rPr>
      </w:pPr>
      <w:r w:rsidRPr="00A10443">
        <w:rPr>
          <w:u w:val="single"/>
        </w:rPr>
        <w:t>P</w:t>
      </w:r>
      <w:r w:rsidR="001B51F2" w:rsidRPr="00A10443">
        <w:rPr>
          <w:u w:val="single"/>
        </w:rPr>
        <w:t>atienter</w:t>
      </w:r>
      <w:r w:rsidRPr="00A10443">
        <w:rPr>
          <w:u w:val="single"/>
        </w:rPr>
        <w:t xml:space="preserve"> i hemtjänst/särskilt boende</w:t>
      </w:r>
      <w:r w:rsidR="001B51F2" w:rsidRPr="00A10443">
        <w:rPr>
          <w:u w:val="single"/>
        </w:rPr>
        <w:t xml:space="preserve"> </w:t>
      </w:r>
      <w:r w:rsidR="001B51F2" w:rsidRPr="002E3552">
        <w:rPr>
          <w:u w:val="single"/>
        </w:rPr>
        <w:t>under 65 år</w:t>
      </w:r>
      <w:r w:rsidR="002E3552" w:rsidRPr="002E3552">
        <w:rPr>
          <w:u w:val="single"/>
        </w:rPr>
        <w:t xml:space="preserve"> samt omsorg funktionsnedsättning</w:t>
      </w:r>
      <w:r w:rsidR="00682347">
        <w:rPr>
          <w:u w:val="single"/>
        </w:rPr>
        <w:t xml:space="preserve"> alla åldrar</w:t>
      </w:r>
      <w:r w:rsidR="001B51F2" w:rsidRPr="002E3552">
        <w:rPr>
          <w:u w:val="single"/>
        </w:rPr>
        <w:t xml:space="preserve"> </w:t>
      </w:r>
    </w:p>
    <w:p w14:paraId="01E83292" w14:textId="6C3D6A21" w:rsidR="002E1930" w:rsidRPr="00593CB7" w:rsidRDefault="001B51F2" w:rsidP="002E1930">
      <w:pPr>
        <w:pStyle w:val="Liststycke"/>
        <w:numPr>
          <w:ilvl w:val="0"/>
          <w:numId w:val="6"/>
        </w:numPr>
      </w:pPr>
      <w:r>
        <w:t>Patienter</w:t>
      </w:r>
      <w:r w:rsidR="002E3552">
        <w:t xml:space="preserve"> inom </w:t>
      </w:r>
      <w:r w:rsidR="002402D6">
        <w:t>hemtjänst/särskilt boende</w:t>
      </w:r>
      <w:r w:rsidR="002E3552">
        <w:t xml:space="preserve"> </w:t>
      </w:r>
      <w:r>
        <w:t xml:space="preserve">under </w:t>
      </w:r>
      <w:r w:rsidR="00361A05" w:rsidRPr="00361A05">
        <w:t>65 år</w:t>
      </w:r>
      <w:r w:rsidR="002E3552">
        <w:t xml:space="preserve"> samt</w:t>
      </w:r>
      <w:r w:rsidR="00682347">
        <w:t xml:space="preserve"> alla åldrar</w:t>
      </w:r>
      <w:r w:rsidR="002E3552">
        <w:t xml:space="preserve"> inom omsorg funktionsnedsättning </w:t>
      </w:r>
      <w:r>
        <w:t>erbjuds riskbedömning enligt</w:t>
      </w:r>
      <w:r w:rsidR="00F7248B">
        <w:t xml:space="preserve"> </w:t>
      </w:r>
      <w:r w:rsidR="002E1930" w:rsidRPr="00593CB7">
        <w:t xml:space="preserve">Socialstyrelsens/Sveriges Kommuner och Landstings (SoS/SKL) tre frågor: </w:t>
      </w:r>
    </w:p>
    <w:p w14:paraId="43E8C675" w14:textId="77777777" w:rsidR="002E1930" w:rsidRPr="00593CB7" w:rsidRDefault="002E1930" w:rsidP="002E1930">
      <w:pPr>
        <w:pStyle w:val="Liststycke"/>
        <w:numPr>
          <w:ilvl w:val="0"/>
          <w:numId w:val="7"/>
        </w:numPr>
      </w:pPr>
      <w:r w:rsidRPr="00593CB7">
        <w:t xml:space="preserve">ofrivillig viktnedgång (oavsett tidsförlopp och omfattning) </w:t>
      </w:r>
    </w:p>
    <w:p w14:paraId="541251EB" w14:textId="77777777" w:rsidR="002E1930" w:rsidRPr="00593CB7" w:rsidRDefault="002E1930" w:rsidP="002E1930">
      <w:pPr>
        <w:pStyle w:val="Liststycke"/>
        <w:numPr>
          <w:ilvl w:val="0"/>
          <w:numId w:val="7"/>
        </w:numPr>
      </w:pPr>
      <w:r w:rsidRPr="00593CB7">
        <w:lastRenderedPageBreak/>
        <w:t xml:space="preserve">undervikt (BMI &lt;20 om yngre än 70 år eller BMI &lt;22 om över 70 år) </w:t>
      </w:r>
    </w:p>
    <w:p w14:paraId="7CC28299" w14:textId="6CBA5498" w:rsidR="00361A05" w:rsidRDefault="002E1930" w:rsidP="00527937">
      <w:pPr>
        <w:pStyle w:val="Liststycke"/>
        <w:numPr>
          <w:ilvl w:val="0"/>
          <w:numId w:val="7"/>
        </w:numPr>
      </w:pPr>
      <w:r w:rsidRPr="00593CB7">
        <w:t xml:space="preserve">någon typ av ätsvårighet, t.ex. nedsatt aptit, </w:t>
      </w:r>
      <w:proofErr w:type="spellStart"/>
      <w:r w:rsidRPr="00593CB7">
        <w:t>dysfagi</w:t>
      </w:r>
      <w:proofErr w:type="spellEnd"/>
      <w:r w:rsidRPr="00593CB7">
        <w:t xml:space="preserve"> m.m. </w:t>
      </w:r>
    </w:p>
    <w:p w14:paraId="434C3CE3" w14:textId="77777777" w:rsidR="001B51F2" w:rsidRPr="00361A05" w:rsidRDefault="001B51F2" w:rsidP="001B51F2">
      <w:pPr>
        <w:pStyle w:val="Liststycke"/>
        <w:ind w:left="1440"/>
      </w:pPr>
    </w:p>
    <w:p w14:paraId="51832947" w14:textId="095745FD" w:rsidR="00361A05" w:rsidRPr="00593CB7" w:rsidRDefault="00D24C3C" w:rsidP="00593CB7">
      <w:pPr>
        <w:pStyle w:val="Liststycke"/>
        <w:numPr>
          <w:ilvl w:val="0"/>
          <w:numId w:val="8"/>
        </w:numPr>
      </w:pPr>
      <w:r>
        <w:t>Om risk för undernäring föreligger</w:t>
      </w:r>
      <w:r w:rsidR="00361A05" w:rsidRPr="00593CB7">
        <w:t xml:space="preserve"> ska en vidare utredning av näringstillståndet påbörjas. </w:t>
      </w:r>
    </w:p>
    <w:p w14:paraId="2FD35705" w14:textId="77777777" w:rsidR="00361A05" w:rsidRDefault="00361A05" w:rsidP="00593CB7">
      <w:pPr>
        <w:pStyle w:val="Liststycke"/>
        <w:numPr>
          <w:ilvl w:val="0"/>
          <w:numId w:val="8"/>
        </w:numPr>
      </w:pPr>
      <w:r w:rsidRPr="00593CB7">
        <w:t xml:space="preserve">Om ingen risk för undernäring identifieras erbjuds ny riskbedömning efter ett år eller tidigare vid behov, t.ex. vid förändrat hälsotillstånd. </w:t>
      </w:r>
    </w:p>
    <w:p w14:paraId="05B058F0" w14:textId="35E32714" w:rsidR="002E3552" w:rsidRPr="00A10443" w:rsidRDefault="002402D6" w:rsidP="00D34A37">
      <w:pPr>
        <w:pStyle w:val="Liststycke"/>
        <w:numPr>
          <w:ilvl w:val="0"/>
          <w:numId w:val="5"/>
        </w:numPr>
      </w:pPr>
      <w:r w:rsidRPr="00A10443">
        <w:t>V</w:t>
      </w:r>
      <w:r w:rsidR="002E3552" w:rsidRPr="00A10443">
        <w:t xml:space="preserve">ägning </w:t>
      </w:r>
      <w:r w:rsidRPr="00A10443">
        <w:t xml:space="preserve">ska </w:t>
      </w:r>
      <w:r w:rsidR="002E3552" w:rsidRPr="00A10443">
        <w:t xml:space="preserve">erbjudas i samband med </w:t>
      </w:r>
      <w:r w:rsidR="00A10443" w:rsidRPr="00A10443">
        <w:t xml:space="preserve">årlig </w:t>
      </w:r>
      <w:r w:rsidR="002E3552" w:rsidRPr="00A10443">
        <w:t>riskbedömning. Vid identifierad risk för undernäring sker vägning oftare efter behov.</w:t>
      </w:r>
    </w:p>
    <w:p w14:paraId="71F19733" w14:textId="77777777" w:rsidR="00E376B9" w:rsidRDefault="00E376B9" w:rsidP="00E376B9">
      <w:pPr>
        <w:pStyle w:val="Liststycke"/>
        <w:numPr>
          <w:ilvl w:val="0"/>
          <w:numId w:val="8"/>
        </w:numPr>
      </w:pPr>
      <w:r w:rsidRPr="00361A05">
        <w:t xml:space="preserve">Vid risk för undernäring eller vid undernäring ska näringstillståndet vidare utredas. </w:t>
      </w:r>
    </w:p>
    <w:p w14:paraId="59BE2691" w14:textId="77777777" w:rsidR="00361A05" w:rsidRDefault="00361A05" w:rsidP="00593CB7">
      <w:pPr>
        <w:pStyle w:val="Liststycke"/>
        <w:numPr>
          <w:ilvl w:val="0"/>
          <w:numId w:val="8"/>
        </w:numPr>
      </w:pPr>
      <w:r w:rsidRPr="00593CB7">
        <w:t xml:space="preserve">Resultatet av riskbedömningen ska alltid dokumenteras i journalen. </w:t>
      </w:r>
    </w:p>
    <w:p w14:paraId="140FA6FD" w14:textId="77777777" w:rsidR="005B340C" w:rsidRPr="00593CB7" w:rsidRDefault="005B340C" w:rsidP="005B340C"/>
    <w:p w14:paraId="6EDA7B04" w14:textId="77777777" w:rsidR="00361A05" w:rsidRPr="00682347" w:rsidRDefault="00361A05" w:rsidP="00593CB7">
      <w:pPr>
        <w:rPr>
          <w:b/>
        </w:rPr>
      </w:pPr>
      <w:r w:rsidRPr="00682347">
        <w:rPr>
          <w:b/>
        </w:rPr>
        <w:t>Hur en utredning av näringstillståndet ska göras</w:t>
      </w:r>
    </w:p>
    <w:p w14:paraId="6BA4B027" w14:textId="77777777" w:rsidR="00536ADA" w:rsidRDefault="00361A05" w:rsidP="00593CB7">
      <w:r w:rsidRPr="00361A05">
        <w:t>Se Nutritionshandboken</w:t>
      </w:r>
      <w:r w:rsidR="001C6312">
        <w:t xml:space="preserve"> </w:t>
      </w:r>
    </w:p>
    <w:p w14:paraId="4EAE2956" w14:textId="04E10199" w:rsidR="00361A05" w:rsidRPr="00536ADA" w:rsidRDefault="001C6312" w:rsidP="00593CB7">
      <w:pPr>
        <w:rPr>
          <w:i/>
        </w:rPr>
      </w:pPr>
      <w:r>
        <w:t>LÄNK</w:t>
      </w:r>
      <w:r w:rsidR="00536ADA">
        <w:t xml:space="preserve"> till kapitel </w:t>
      </w:r>
      <w:r w:rsidR="00536ADA">
        <w:rPr>
          <w:i/>
        </w:rPr>
        <w:t>Nutritionsutredning</w:t>
      </w:r>
    </w:p>
    <w:p w14:paraId="0A749CD7" w14:textId="77777777" w:rsidR="00361A05" w:rsidRPr="00361A05" w:rsidRDefault="00361A05" w:rsidP="00361A05">
      <w:pPr>
        <w:rPr>
          <w:rFonts w:asciiTheme="minorHAnsi" w:hAnsiTheme="minorHAnsi"/>
          <w:sz w:val="22"/>
        </w:rPr>
      </w:pPr>
    </w:p>
    <w:p w14:paraId="36B19A5B" w14:textId="77777777" w:rsidR="00361A05" w:rsidRPr="00682347" w:rsidRDefault="00361A05" w:rsidP="00593CB7">
      <w:pPr>
        <w:rPr>
          <w:b/>
          <w:i/>
        </w:rPr>
      </w:pPr>
      <w:r w:rsidRPr="00682347">
        <w:rPr>
          <w:b/>
          <w:i/>
        </w:rPr>
        <w:t>Hur undernäring ska förebyggas</w:t>
      </w:r>
    </w:p>
    <w:p w14:paraId="567B5C04" w14:textId="55F0EE3A" w:rsidR="00361A05" w:rsidRPr="00270CB0" w:rsidRDefault="001C6312" w:rsidP="00593CB7">
      <w:pPr>
        <w:rPr>
          <w:i/>
        </w:rPr>
      </w:pPr>
      <w:r>
        <w:lastRenderedPageBreak/>
        <w:t>LÄNK</w:t>
      </w:r>
      <w:r w:rsidR="00270CB0">
        <w:t xml:space="preserve"> till kapitel </w:t>
      </w:r>
      <w:r w:rsidR="00270CB0" w:rsidRPr="00270CB0">
        <w:rPr>
          <w:i/>
        </w:rPr>
        <w:t>Senior Alert</w:t>
      </w:r>
      <w:r w:rsidR="00270CB0">
        <w:t xml:space="preserve">, </w:t>
      </w:r>
      <w:r w:rsidR="00270CB0">
        <w:rPr>
          <w:i/>
        </w:rPr>
        <w:t xml:space="preserve">Ätandet, Måltiden, Nattfastan </w:t>
      </w:r>
    </w:p>
    <w:p w14:paraId="0BE83104" w14:textId="77777777" w:rsidR="00361A05" w:rsidRPr="00682347" w:rsidRDefault="00361A05" w:rsidP="00593CB7">
      <w:pPr>
        <w:rPr>
          <w:b/>
          <w:i/>
        </w:rPr>
      </w:pPr>
      <w:r w:rsidRPr="00682347">
        <w:rPr>
          <w:b/>
          <w:i/>
        </w:rPr>
        <w:t>Hur undernäring ska behandlas</w:t>
      </w:r>
    </w:p>
    <w:p w14:paraId="65AD22FE" w14:textId="0081A127" w:rsidR="00361A05" w:rsidRPr="00270CB0" w:rsidRDefault="001C6312" w:rsidP="00593CB7">
      <w:pPr>
        <w:rPr>
          <w:i/>
        </w:rPr>
      </w:pPr>
      <w:r>
        <w:t>LÄNK</w:t>
      </w:r>
      <w:r w:rsidR="00270CB0">
        <w:t xml:space="preserve"> till kapitel </w:t>
      </w:r>
      <w:r w:rsidR="00270CB0">
        <w:rPr>
          <w:i/>
        </w:rPr>
        <w:t>Nutritionsbehandling</w:t>
      </w:r>
    </w:p>
    <w:p w14:paraId="79A40DF1" w14:textId="14383878" w:rsidR="00912E34" w:rsidRDefault="002402D6" w:rsidP="00912E34">
      <w:pPr>
        <w:pStyle w:val="Rubrik1"/>
      </w:pPr>
      <w:bookmarkStart w:id="4" w:name="_Toc363739791"/>
      <w:r>
        <w:t>R</w:t>
      </w:r>
      <w:r w:rsidR="00912E34">
        <w:t>egelverk</w:t>
      </w:r>
      <w:bookmarkEnd w:id="4"/>
    </w:p>
    <w:p w14:paraId="25B7E178" w14:textId="2ADE3104" w:rsidR="001A2CFD" w:rsidRDefault="00593CB7" w:rsidP="001A2CFD">
      <w:r>
        <w:rPr>
          <w:i/>
        </w:rPr>
        <w:t xml:space="preserve">Förebyggande av och behandling vid undernäring </w:t>
      </w:r>
      <w:r>
        <w:t>Socialstyrelsens föreskrifter och allmänna råd, SOSFS 2014:1 (M och S)</w:t>
      </w:r>
      <w:r w:rsidR="002E1930">
        <w:t xml:space="preserve"> </w:t>
      </w:r>
      <w:hyperlink r:id="rId9" w:history="1">
        <w:r w:rsidR="002E1930" w:rsidRPr="00431BA1">
          <w:rPr>
            <w:rStyle w:val="Hyperlnk"/>
          </w:rPr>
          <w:t>http://www.socialstyrelsen.se/publikationer2014/2014-10-12</w:t>
        </w:r>
      </w:hyperlink>
      <w:r w:rsidR="002E1930">
        <w:t xml:space="preserve"> </w:t>
      </w:r>
    </w:p>
    <w:p w14:paraId="312AE211" w14:textId="7FC6ACD7" w:rsidR="00956088" w:rsidRDefault="00593CB7" w:rsidP="00956088">
      <w:r>
        <w:rPr>
          <w:i/>
        </w:rPr>
        <w:t>Näring för god vård och omsorg, en vägledning för att förebygga och behandla undernäring</w:t>
      </w:r>
      <w:r w:rsidR="002E1930">
        <w:rPr>
          <w:i/>
        </w:rPr>
        <w:t>.</w:t>
      </w:r>
      <w:r>
        <w:rPr>
          <w:i/>
        </w:rPr>
        <w:t>,</w:t>
      </w:r>
      <w:r w:rsidR="002E1930">
        <w:rPr>
          <w:i/>
        </w:rPr>
        <w:t xml:space="preserve"> </w:t>
      </w:r>
      <w:r w:rsidR="00956088">
        <w:t>Socialstyrelsen 2011.</w:t>
      </w:r>
      <w:r w:rsidR="002E1930">
        <w:t xml:space="preserve"> </w:t>
      </w:r>
      <w:hyperlink r:id="rId10" w:history="1">
        <w:r w:rsidR="002E1930" w:rsidRPr="00431BA1">
          <w:rPr>
            <w:rStyle w:val="Hyperlnk"/>
          </w:rPr>
          <w:t>http://www.socialstyrelsen.se/publikationer2011/2011-9-2</w:t>
        </w:r>
      </w:hyperlink>
      <w:r w:rsidR="002E1930">
        <w:t xml:space="preserve"> </w:t>
      </w:r>
    </w:p>
    <w:p w14:paraId="40D2900A" w14:textId="1FE2C956" w:rsidR="00912E34" w:rsidRDefault="002E1930">
      <w:r>
        <w:rPr>
          <w:i/>
        </w:rPr>
        <w:t xml:space="preserve">Vård och omsorg om äldre. Lägesrapport 2016. </w:t>
      </w:r>
      <w:r>
        <w:t xml:space="preserve">Socialstyrelsen 2016 </w:t>
      </w:r>
      <w:hyperlink r:id="rId11" w:history="1">
        <w:r w:rsidRPr="00431BA1">
          <w:rPr>
            <w:rStyle w:val="Hyperlnk"/>
          </w:rPr>
          <w:t>http://www.socialstyrelsen.se/publikationer2016/2016-2-29</w:t>
        </w:r>
      </w:hyperlink>
    </w:p>
    <w:sectPr w:rsidR="00912E3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B58C4" w14:textId="77777777" w:rsidR="00DA3579" w:rsidRDefault="00DA3579" w:rsidP="00DA3579">
      <w:pPr>
        <w:spacing w:after="0" w:line="240" w:lineRule="auto"/>
      </w:pPr>
      <w:r>
        <w:separator/>
      </w:r>
    </w:p>
  </w:endnote>
  <w:endnote w:type="continuationSeparator" w:id="0">
    <w:p w14:paraId="21CDDFFA" w14:textId="77777777" w:rsidR="00DA3579" w:rsidRDefault="00DA3579" w:rsidP="00DA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876572"/>
      <w:docPartObj>
        <w:docPartGallery w:val="Page Numbers (Bottom of Page)"/>
        <w:docPartUnique/>
      </w:docPartObj>
    </w:sdtPr>
    <w:sdtEndPr/>
    <w:sdtContent>
      <w:p w14:paraId="5A4A11F5" w14:textId="77777777" w:rsidR="00DA3579" w:rsidRDefault="00DA3579">
        <w:pPr>
          <w:pStyle w:val="Sidfot"/>
          <w:jc w:val="center"/>
        </w:pPr>
        <w:r>
          <w:fldChar w:fldCharType="begin"/>
        </w:r>
        <w:r>
          <w:instrText>PAGE   \* MERGEFORMAT</w:instrText>
        </w:r>
        <w:r>
          <w:fldChar w:fldCharType="separate"/>
        </w:r>
        <w:r w:rsidR="00F92A43">
          <w:rPr>
            <w:noProof/>
          </w:rPr>
          <w:t>3</w:t>
        </w:r>
        <w:r>
          <w:fldChar w:fldCharType="end"/>
        </w:r>
      </w:p>
    </w:sdtContent>
  </w:sdt>
  <w:p w14:paraId="669FCFAD" w14:textId="77777777" w:rsidR="00DA3579" w:rsidRDefault="00DA357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2EC7A" w14:textId="77777777" w:rsidR="00DA3579" w:rsidRDefault="00DA3579" w:rsidP="00DA3579">
      <w:pPr>
        <w:spacing w:after="0" w:line="240" w:lineRule="auto"/>
      </w:pPr>
      <w:r>
        <w:separator/>
      </w:r>
    </w:p>
  </w:footnote>
  <w:footnote w:type="continuationSeparator" w:id="0">
    <w:p w14:paraId="3D5B87D1" w14:textId="77777777" w:rsidR="00DA3579" w:rsidRDefault="00DA3579" w:rsidP="00DA3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A55F3"/>
    <w:multiLevelType w:val="hybridMultilevel"/>
    <w:tmpl w:val="36CA6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ED5414"/>
    <w:multiLevelType w:val="hybridMultilevel"/>
    <w:tmpl w:val="8BD62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D85777"/>
    <w:multiLevelType w:val="hybridMultilevel"/>
    <w:tmpl w:val="76E6D5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0A3F3C"/>
    <w:multiLevelType w:val="hybridMultilevel"/>
    <w:tmpl w:val="65862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9A2205D"/>
    <w:multiLevelType w:val="hybridMultilevel"/>
    <w:tmpl w:val="A09627BA"/>
    <w:lvl w:ilvl="0" w:tplc="95905AB8">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15:restartNumberingAfterBreak="0">
    <w:nsid w:val="4E4F73BB"/>
    <w:multiLevelType w:val="hybridMultilevel"/>
    <w:tmpl w:val="5D061BA2"/>
    <w:lvl w:ilvl="0" w:tplc="976EF45C">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5F3778E6"/>
    <w:multiLevelType w:val="hybridMultilevel"/>
    <w:tmpl w:val="8B1ADE6E"/>
    <w:lvl w:ilvl="0" w:tplc="298084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46D7FA1"/>
    <w:multiLevelType w:val="hybridMultilevel"/>
    <w:tmpl w:val="27C4FC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516D93"/>
    <w:multiLevelType w:val="hybridMultilevel"/>
    <w:tmpl w:val="BFE68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3A7282"/>
    <w:multiLevelType w:val="hybridMultilevel"/>
    <w:tmpl w:val="4B56B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D1F7E7B"/>
    <w:multiLevelType w:val="hybridMultilevel"/>
    <w:tmpl w:val="083C4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730CB8"/>
    <w:multiLevelType w:val="hybridMultilevel"/>
    <w:tmpl w:val="38381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2B4338A"/>
    <w:multiLevelType w:val="hybridMultilevel"/>
    <w:tmpl w:val="FD5A1D94"/>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55C1BC3"/>
    <w:multiLevelType w:val="hybridMultilevel"/>
    <w:tmpl w:val="644C1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8"/>
  </w:num>
  <w:num w:numId="6">
    <w:abstractNumId w:val="11"/>
  </w:num>
  <w:num w:numId="7">
    <w:abstractNumId w:val="12"/>
  </w:num>
  <w:num w:numId="8">
    <w:abstractNumId w:val="1"/>
  </w:num>
  <w:num w:numId="9">
    <w:abstractNumId w:val="9"/>
  </w:num>
  <w:num w:numId="10">
    <w:abstractNumId w:val="10"/>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48"/>
    <w:rsid w:val="000D676B"/>
    <w:rsid w:val="001A2CFD"/>
    <w:rsid w:val="001B51F2"/>
    <w:rsid w:val="001C6312"/>
    <w:rsid w:val="002402D6"/>
    <w:rsid w:val="00242E68"/>
    <w:rsid w:val="00270CB0"/>
    <w:rsid w:val="002E1930"/>
    <w:rsid w:val="002E3552"/>
    <w:rsid w:val="00320F24"/>
    <w:rsid w:val="00327174"/>
    <w:rsid w:val="00337B7C"/>
    <w:rsid w:val="00361A05"/>
    <w:rsid w:val="00392D4C"/>
    <w:rsid w:val="00404A7A"/>
    <w:rsid w:val="00413221"/>
    <w:rsid w:val="00461242"/>
    <w:rsid w:val="004B7322"/>
    <w:rsid w:val="004C532E"/>
    <w:rsid w:val="00526CEA"/>
    <w:rsid w:val="00536ADA"/>
    <w:rsid w:val="00593CB7"/>
    <w:rsid w:val="005B340C"/>
    <w:rsid w:val="005B74A2"/>
    <w:rsid w:val="00637396"/>
    <w:rsid w:val="006463EF"/>
    <w:rsid w:val="00655F24"/>
    <w:rsid w:val="00682347"/>
    <w:rsid w:val="006B3A66"/>
    <w:rsid w:val="00725E4A"/>
    <w:rsid w:val="00762FBC"/>
    <w:rsid w:val="00847AF7"/>
    <w:rsid w:val="00850FED"/>
    <w:rsid w:val="00912E34"/>
    <w:rsid w:val="00956088"/>
    <w:rsid w:val="009A5C0C"/>
    <w:rsid w:val="009E075C"/>
    <w:rsid w:val="00A10443"/>
    <w:rsid w:val="00A51C2B"/>
    <w:rsid w:val="00A678C5"/>
    <w:rsid w:val="00AE39CD"/>
    <w:rsid w:val="00AF3A1F"/>
    <w:rsid w:val="00BA789D"/>
    <w:rsid w:val="00BB3A3C"/>
    <w:rsid w:val="00C1229B"/>
    <w:rsid w:val="00D24C3C"/>
    <w:rsid w:val="00D4555C"/>
    <w:rsid w:val="00DA3579"/>
    <w:rsid w:val="00DB404A"/>
    <w:rsid w:val="00DF66D7"/>
    <w:rsid w:val="00E102E1"/>
    <w:rsid w:val="00E34548"/>
    <w:rsid w:val="00E376B9"/>
    <w:rsid w:val="00F47964"/>
    <w:rsid w:val="00F7248B"/>
    <w:rsid w:val="00F7561B"/>
    <w:rsid w:val="00F92A43"/>
    <w:rsid w:val="00F97966"/>
    <w:rsid w:val="00FE08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86DDD"/>
  <w15:docId w15:val="{616B008E-3626-4737-993B-6B58C5CE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öpande text"/>
    <w:qFormat/>
    <w:rsid w:val="00F97966"/>
    <w:rPr>
      <w:rFonts w:ascii="Times New Roman" w:hAnsi="Times New Roman"/>
      <w:sz w:val="24"/>
    </w:rPr>
  </w:style>
  <w:style w:type="paragraph" w:styleId="Rubrik1">
    <w:name w:val="heading 1"/>
    <w:basedOn w:val="Normal"/>
    <w:next w:val="Normal"/>
    <w:link w:val="Rubrik1Char"/>
    <w:uiPriority w:val="9"/>
    <w:qFormat/>
    <w:rsid w:val="00847AF7"/>
    <w:pPr>
      <w:keepNext/>
      <w:keepLines/>
      <w:spacing w:before="480" w:after="0"/>
      <w:outlineLvl w:val="0"/>
    </w:pPr>
    <w:rPr>
      <w:rFonts w:ascii="Arial" w:eastAsiaTheme="majorEastAsia" w:hAnsi="Arial" w:cstheme="majorBidi"/>
      <w:b/>
      <w:bCs/>
      <w:szCs w:val="28"/>
    </w:rPr>
  </w:style>
  <w:style w:type="paragraph" w:styleId="Rubrik2">
    <w:name w:val="heading 2"/>
    <w:basedOn w:val="Normal"/>
    <w:next w:val="Normal"/>
    <w:link w:val="Rubrik2Char"/>
    <w:uiPriority w:val="9"/>
    <w:semiHidden/>
    <w:unhideWhenUsed/>
    <w:qFormat/>
    <w:rsid w:val="00DA35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DA35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34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B3A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3A66"/>
    <w:rPr>
      <w:rFonts w:ascii="Tahoma" w:hAnsi="Tahoma" w:cs="Tahoma"/>
      <w:sz w:val="16"/>
      <w:szCs w:val="16"/>
    </w:rPr>
  </w:style>
  <w:style w:type="character" w:customStyle="1" w:styleId="Rubrik1Char">
    <w:name w:val="Rubrik 1 Char"/>
    <w:basedOn w:val="Standardstycketeckensnitt"/>
    <w:link w:val="Rubrik1"/>
    <w:uiPriority w:val="9"/>
    <w:rsid w:val="00847AF7"/>
    <w:rPr>
      <w:rFonts w:ascii="Arial" w:eastAsiaTheme="majorEastAsia" w:hAnsi="Arial" w:cstheme="majorBidi"/>
      <w:b/>
      <w:bCs/>
      <w:sz w:val="24"/>
      <w:szCs w:val="28"/>
    </w:rPr>
  </w:style>
  <w:style w:type="character" w:customStyle="1" w:styleId="Rubrik3Char">
    <w:name w:val="Rubrik 3 Char"/>
    <w:basedOn w:val="Standardstycketeckensnitt"/>
    <w:link w:val="Rubrik3"/>
    <w:uiPriority w:val="9"/>
    <w:semiHidden/>
    <w:rsid w:val="00DA3579"/>
    <w:rPr>
      <w:rFonts w:asciiTheme="majorHAnsi" w:eastAsiaTheme="majorEastAsia" w:hAnsiTheme="majorHAnsi" w:cstheme="majorBidi"/>
      <w:b/>
      <w:bCs/>
      <w:color w:val="4F81BD" w:themeColor="accent1"/>
    </w:rPr>
  </w:style>
  <w:style w:type="character" w:customStyle="1" w:styleId="Rubrik2Char">
    <w:name w:val="Rubrik 2 Char"/>
    <w:basedOn w:val="Standardstycketeckensnitt"/>
    <w:link w:val="Rubrik2"/>
    <w:uiPriority w:val="9"/>
    <w:semiHidden/>
    <w:rsid w:val="00DA3579"/>
    <w:rPr>
      <w:rFonts w:asciiTheme="majorHAnsi" w:eastAsiaTheme="majorEastAsia" w:hAnsiTheme="majorHAnsi" w:cstheme="majorBidi"/>
      <w:b/>
      <w:bCs/>
      <w:color w:val="4F81BD" w:themeColor="accent1"/>
      <w:sz w:val="26"/>
      <w:szCs w:val="26"/>
    </w:rPr>
  </w:style>
  <w:style w:type="paragraph" w:styleId="Innehll1">
    <w:name w:val="toc 1"/>
    <w:basedOn w:val="Normal"/>
    <w:next w:val="Normal"/>
    <w:autoRedefine/>
    <w:uiPriority w:val="39"/>
    <w:unhideWhenUsed/>
    <w:rsid w:val="00DA3579"/>
    <w:pPr>
      <w:spacing w:after="100"/>
    </w:pPr>
  </w:style>
  <w:style w:type="character" w:styleId="Hyperlnk">
    <w:name w:val="Hyperlink"/>
    <w:basedOn w:val="Standardstycketeckensnitt"/>
    <w:uiPriority w:val="99"/>
    <w:unhideWhenUsed/>
    <w:rsid w:val="00DA3579"/>
    <w:rPr>
      <w:color w:val="0000FF" w:themeColor="hyperlink"/>
      <w:u w:val="single"/>
    </w:rPr>
  </w:style>
  <w:style w:type="paragraph" w:styleId="Sidhuvud">
    <w:name w:val="header"/>
    <w:basedOn w:val="Normal"/>
    <w:link w:val="SidhuvudChar"/>
    <w:uiPriority w:val="99"/>
    <w:unhideWhenUsed/>
    <w:rsid w:val="00DA35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3579"/>
  </w:style>
  <w:style w:type="paragraph" w:styleId="Sidfot">
    <w:name w:val="footer"/>
    <w:basedOn w:val="Normal"/>
    <w:link w:val="SidfotChar"/>
    <w:uiPriority w:val="99"/>
    <w:unhideWhenUsed/>
    <w:rsid w:val="00DA35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3579"/>
  </w:style>
  <w:style w:type="paragraph" w:styleId="Innehllsfrteckningsrubrik">
    <w:name w:val="TOC Heading"/>
    <w:basedOn w:val="Rubrik1"/>
    <w:next w:val="Normal"/>
    <w:uiPriority w:val="39"/>
    <w:semiHidden/>
    <w:unhideWhenUsed/>
    <w:qFormat/>
    <w:rsid w:val="00DA3579"/>
    <w:pPr>
      <w:outlineLvl w:val="9"/>
    </w:pPr>
    <w:rPr>
      <w:rFonts w:asciiTheme="majorHAnsi" w:hAnsiTheme="majorHAnsi"/>
      <w:color w:val="365F91" w:themeColor="accent1" w:themeShade="BF"/>
      <w:sz w:val="28"/>
      <w:lang w:eastAsia="sv-SE"/>
    </w:rPr>
  </w:style>
  <w:style w:type="character" w:styleId="Kommentarsreferens">
    <w:name w:val="annotation reference"/>
    <w:basedOn w:val="Standardstycketeckensnitt"/>
    <w:uiPriority w:val="99"/>
    <w:semiHidden/>
    <w:unhideWhenUsed/>
    <w:rsid w:val="00361A05"/>
    <w:rPr>
      <w:sz w:val="16"/>
      <w:szCs w:val="16"/>
    </w:rPr>
  </w:style>
  <w:style w:type="paragraph" w:styleId="Kommentarer">
    <w:name w:val="annotation text"/>
    <w:basedOn w:val="Normal"/>
    <w:link w:val="KommentarerChar"/>
    <w:uiPriority w:val="99"/>
    <w:semiHidden/>
    <w:unhideWhenUsed/>
    <w:rsid w:val="00361A05"/>
    <w:pPr>
      <w:spacing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semiHidden/>
    <w:rsid w:val="00361A05"/>
    <w:rPr>
      <w:sz w:val="20"/>
      <w:szCs w:val="20"/>
    </w:rPr>
  </w:style>
  <w:style w:type="character" w:styleId="Stark">
    <w:name w:val="Strong"/>
    <w:basedOn w:val="Standardstycketeckensnitt"/>
    <w:uiPriority w:val="22"/>
    <w:qFormat/>
    <w:rsid w:val="00593CB7"/>
    <w:rPr>
      <w:b/>
      <w:bCs/>
    </w:rPr>
  </w:style>
  <w:style w:type="paragraph" w:styleId="Liststycke">
    <w:name w:val="List Paragraph"/>
    <w:basedOn w:val="Normal"/>
    <w:uiPriority w:val="34"/>
    <w:qFormat/>
    <w:rsid w:val="00593CB7"/>
    <w:pPr>
      <w:ind w:left="720"/>
      <w:contextualSpacing/>
    </w:pPr>
  </w:style>
  <w:style w:type="paragraph" w:styleId="Kommentarsmne">
    <w:name w:val="annotation subject"/>
    <w:basedOn w:val="Kommentarer"/>
    <w:next w:val="Kommentarer"/>
    <w:link w:val="KommentarsmneChar"/>
    <w:uiPriority w:val="99"/>
    <w:semiHidden/>
    <w:unhideWhenUsed/>
    <w:rsid w:val="00F7248B"/>
    <w:rPr>
      <w:rFonts w:ascii="Times New Roman" w:hAnsi="Times New Roman"/>
      <w:b/>
      <w:bCs/>
    </w:rPr>
  </w:style>
  <w:style w:type="character" w:customStyle="1" w:styleId="KommentarsmneChar">
    <w:name w:val="Kommentarsämne Char"/>
    <w:basedOn w:val="KommentarerChar"/>
    <w:link w:val="Kommentarsmne"/>
    <w:uiPriority w:val="99"/>
    <w:semiHidden/>
    <w:rsid w:val="00F724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styrelsen.se/publikationer2016/2016-2-29" TargetMode="External"/><Relationship Id="rId5" Type="http://schemas.openxmlformats.org/officeDocument/2006/relationships/webSettings" Target="webSettings.xml"/><Relationship Id="rId10" Type="http://schemas.openxmlformats.org/officeDocument/2006/relationships/hyperlink" Target="http://www.socialstyrelsen.se/publikationer2011/2011-9-2" TargetMode="External"/><Relationship Id="rId4" Type="http://schemas.openxmlformats.org/officeDocument/2006/relationships/settings" Target="settings.xml"/><Relationship Id="rId9" Type="http://schemas.openxmlformats.org/officeDocument/2006/relationships/hyperlink" Target="http://www.socialstyrelsen.se/publikationer2014/2014-10-12"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9114-60FF-430A-A734-C109177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3852</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Vaxjo kommun</dc:creator>
  <cp:lastModifiedBy>Sund Louise</cp:lastModifiedBy>
  <cp:revision>2</cp:revision>
  <cp:lastPrinted>2013-03-20T12:39:00Z</cp:lastPrinted>
  <dcterms:created xsi:type="dcterms:W3CDTF">2016-06-01T11:42:00Z</dcterms:created>
  <dcterms:modified xsi:type="dcterms:W3CDTF">2016-06-01T11:42:00Z</dcterms:modified>
</cp:coreProperties>
</file>